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A/3719/2025 vom 27. August 2014</w:t>
      </w:r>
    </w:p>
    <w:p>
      <w:r>
        <w:t>GE Cour de justice, 2014-08-27, FR</w:t>
      </w:r>
    </w:p>
    <w:p>
      <w:r>
        <w:rPr>
          <w:b/>
        </w:rPr>
        <w:t xml:space="preserve">Quelle: </w:t>
      </w:r>
      <w:r>
        <w:t>https://mcp.opencaselaw.ch/entscheid/ge_gerichte_A_3719_2025</w:t>
      </w:r>
    </w:p>
    <w:p>
      <w:r>
        <w:t>FR: GE_GERICHTE A/3719/2025 du 27 août 2014</w:t>
      </w:r>
    </w:p>
    <w:p>
      <w:r>
        <w:t>IT: GE_GERICHTE A/3719/2025 del 27 agosto 2014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recourant conclut, préalablement, à la restitution de l’effet suspensif au recours.</w:t>
      </w:r>
    </w:p>
    <w:p>
      <w:r>
        <w:rPr>
          <w:b/>
        </w:rPr>
        <w:t>E. 3.1</w:t>
      </w:r>
    </w:p>
    <w:p>
      <w:r>
        <w:t>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3.2</w:t>
      </w:r>
    </w:p>
    <w:p>
      <w:r>
        <w:t>Les dispositions de la PA continuent à s’appliquer pour les questions liées à l’effet suspensif qui ne sont pas réglées par l’art. 49 al. 5 LPGA (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w:t>
      </w:r>
    </w:p>
    <w:p>
      <w:r>
        <w:rPr>
          <w:b/>
        </w:rPr>
        <w:t>E. 4</w:t>
      </w:r>
    </w:p>
    <w:p>
      <w:r>
        <w:t>En principe, le droit aux rentes est soustrait à toute exécution forcée (art. 20 al. 1 de la loi fédérale sur l'assurance-vieillesse et survivants, du 20 décembre 1946 [LAVS - RS 831.10]). Toutefois,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5</w:t>
      </w:r>
    </w:p>
    <w:p>
      <w:r>
        <w:t>En l’espèce, la décision litigieuse mentionne qu’elle n’a pas d’effet, tant que la compensation actuellement opérée est en cours, de sorte que la décision de compenser un montant mensuel de CHF 1'935.- avec la rente AVS du recourant n’est pas appliquée. Dans ces conditions, la requête en restitution de l’effet suspensif au recours n’a pas d’objet. La suite de la procédure est réservée.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