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A/3704/2009 vom 18. November 2009</w:t>
      </w:r>
    </w:p>
    <w:p>
      <w:r>
        <w:t>GE Cour de justice, 2009-11-18, FR</w:t>
      </w:r>
    </w:p>
    <w:p>
      <w:r>
        <w:rPr>
          <w:b/>
        </w:rPr>
        <w:t xml:space="preserve">Quelle: </w:t>
      </w:r>
      <w:r>
        <w:t>https://mcp.opencaselaw.ch/entscheid/ge_gerichte_A_3704_2009</w:t>
      </w:r>
    </w:p>
    <w:p>
      <w:r>
        <w:t>FR: GE_GERICHTE A/3704/2009 du 18 novembre 2009</w:t>
      </w:r>
    </w:p>
    <w:p>
      <w:r>
        <w:t>IT: GE_GERICHTE A/3704/2009 del 18 novembre 2009</w:t>
      </w:r>
    </w:p>
    <w:p>
      <w:pPr>
        <w:pStyle w:val="Heading2"/>
      </w:pPr>
      <w:r>
        <w:t>Regeste</w:t>
      </w:r>
    </w:p>
    <w:p>
      <w:r>
        <w:t>Procès-verbal de saisie. Minimum vital. Saisie de gain. | Il n'existe pas d'indices que les indications concordantes résultant de l'instruction de la cause seraient inexactes. Pas de saisie d'une créance de salaire litigieuse. L'Office des poursuites n'a pas excédé son pouvoir d'appréciation en accordant une saisie de gain, la débiteur s'acquittant depuis plus d'un an régulièrement de la somme saisie. | LP.93 ; LP.95.5</w:t>
      </w:r>
    </w:p>
    <w:p>
      <w:pPr>
        <w:pStyle w:val="Heading2"/>
      </w:pPr>
      <w:r>
        <w:t>Erwägungen</w:t>
      </w:r>
    </w:p>
    <w:p>
      <w:r>
        <w:rPr>
          <w:b/>
        </w:rPr>
        <w:t>E. 3</w:t>
      </w:r>
    </w:p>
    <w:p>
      <w:r>
        <w:t>Suite à la plainte, l'Office a interrogé le poursuivi lequel lui a déclaré qu'il était titulaire d'un compte auprès de la Banque cantonale de Genève, dont il a produit un relevé au 19 octobre 2009, faisant état d'un solde créditeur de 0 fr. 55. Le grief de la plaignante, s'il était fondé au jour du dépôt de la plainte, est donc devenu sans objet en cours de procédure.</w:t>
      </w:r>
    </w:p>
    <w:p>
      <w:r>
        <w:rPr>
          <w:b/>
        </w:rPr>
        <w:t>E. 4</w:t>
      </w:r>
    </w:p>
    <w:p>
      <w:r>
        <w:t>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 Commentaire romand ad art. 93 n° 15 ss; ATF 93 III 33 , JdT 1967 II 66). De manière restrictive (cf. la Directive sur les saisies de gains dites "arrangées", n° 06_011 ) , l’Office admet, en application de l’art. 95 al. 5 LP, qui prévoit que le fonctionnaire qui procède à la saisie doit concilier autant que possible les intérêts du créancier et ceux du débiteur, une saisie en mains propres, saisie de gains dite « arrangée »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 6.c. Dans le cas d'espèce, l’Office a admis une saisie de gains en mains du poursuivi. Une telle saisie a déjà été mise en place dans le cadre de poursuites antérieures et le débiteur a toujours versé régulièrement les montants saisis à l'Office. Force est donc d'admettre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du poursuivi se rejoignent dans la mesure où une perte d'emploi pourrait conduire à une diminution du montant saisissable.</w:t>
      </w:r>
    </w:p>
    <w:p>
      <w:r>
        <w:rPr>
          <w:b/>
        </w:rPr>
        <w:t>E. 7</w:t>
      </w:r>
    </w:p>
    <w:p>
      <w:r>
        <w:t>Infondée, la plainte sera rejetée. * * * * * PAR CES MOTIFS, LA COMMISSION DE SURVEILLANCE SIÉGEANT EN SECTION : A la forme : Déclare recevable la plainte formée le 14 octobre 2009 par Mme J______ contre le procès-verbal de saisie, série n° 08 xxxx19 S . Au fond : 1. La rejette. 2. Déboute les parties de toutes autres conclusions. Siégeant : Mme Ariane WEYENETH, présidente ; Mme Florence CASTELLA et M. Christian CHAVAZ,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