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A/3702/2022 vom 13. April 2023</w:t>
      </w:r>
    </w:p>
    <w:p>
      <w:r>
        <w:t>GE Cour de justice, 2023-04-13, FR</w:t>
      </w:r>
    </w:p>
    <w:p>
      <w:r>
        <w:rPr>
          <w:b/>
        </w:rPr>
        <w:t xml:space="preserve">Quelle: </w:t>
      </w:r>
      <w:r>
        <w:t>https://mcp.opencaselaw.ch/entscheid/ge_gerichte_A_3702_2022</w:t>
      </w:r>
    </w:p>
    <w:p>
      <w:r>
        <w:t>FR: GE_GERICHTE A/3702/2022 du 13 avril 2023</w:t>
      </w:r>
    </w:p>
    <w:p>
      <w:r>
        <w:t>IT: GE_GERICHTE A/3702/2022 del 13 aprile 2023</w:t>
      </w:r>
    </w:p>
    <w:p>
      <w:pPr>
        <w:pStyle w:val="Heading2"/>
      </w:pPr>
      <w:r>
        <w:t>Erwägungen</w:t>
      </w:r>
    </w:p>
    <w:p>
      <w:r>
        <w:rPr>
          <w:b/>
        </w:rPr>
        <w:t>E. 5</w:t>
      </w:r>
    </w:p>
    <w:p>
      <w:r>
        <w:t>ème Chambre En la cause Monsieur A______, domicilié ______, GENÈVE, comparant avec élection de domicile en l’étude de Maître Mike HORNUNG recourant contre OFFICE DE L’ASSURANCE-INVALIDITÉ DU CANTON DE GENÈVE, sis rue des Gares 12, GENÈVE intimé EN FAIT A. a. Monsieur A______ (ci-après : l’assuré ou le recourant), né en ______ 1970, divorcé, père de trois enfants majeurs, est arrivé en Suisse à l’âge de 7 ans. Titulaire d’un CFC et d’un brevet fédéral de tôlier en carrosserie, il a exercé la profession apprise, dès 1988, dans divers ateliers de carrosserie du canton et de ses environs. Par décision provisionnelle du 10 juillet 2020, confirmée par ordonnance du 20 mai 2022 (DTAE/1______/2022), le Tribunal de protection de l’adulte et de l’enfant (ci-après : le TPAE), a instauré une curatelle de représentation et a désigné comme curateur, Me Mike HORNUNG, avocat, celui-ci ayant pour tâche de le représenter afin d’effectuer toutes démarches utiles en sa faveur auprès de l’assurance-invalidité.![endif]&gt;![if&gt; b. Le 9 août 2016, l’assuré a déposé une première demande de prestations auprès de l’office de l’assurance-invalidité du canton de Genève (ci-après : l’OAI ou l’intimé) en indiquant qu’il présentait une maladie psychique (« addiction et problèmes de contrôle ») et des séquelles physiques dues à plusieurs accidents. Son incapacité de travail était totale depuis le 16 février 2016. ![endif]&gt;![if&gt; c. Par avis du 26 février 2018, le service médical régional de l’assurance-invalidité (ci-après : le SMR) a estimé que les atteintes orthopédiques d’origine accidentelle à l’épaule droite (janvier 2013), au genou droit (août 2013), à l’épaule gauche (février 2014) et au dos (août 2015) n’avaient pas entraîné d’incapacité de travail durable. Sur le plan psychique, l’assuré avait présenté une incapacité de travail dès le mois de décembre 2015, en raison d’un épisode dépressif moyen (F32.10) faisant suite à la reprise de sa consommation d’alcool sur fond de difficultés conjugales. L’histoire de la dépendance à l’alcool, au cannabis et à la cocaïne remontait à l’adolescence, vers l’âge de 15 ans. Par la suite, l’assuré avait cessé ses consommations de drogues, à l’âge de 18 ans, au moment de se marier, sans pour autant renoncer à consommer de l’alcool, jusqu’en 2011. Il présentait par ailleurs une labilité émotionnelle et une impulsivité, mise sur le compte d’un trouble du déficit de l’attention avec hyperactivité (TDAH ; F90), diagnostiqué en 2011 et contrôlé sous médication. La thymie s’était stabilisée au printemps 2016 avec le sevrage d’alcool, malgré le refus d’un traitement antidépresseur. En dépit de la persistance non seulement d’une certaine hyperactivité avec impulsivité et labilité de l’humeur, sur fond de tempérament hyperthymique, mais aussi de sensibilité au stress et de difficultés relationnelles en lien avec un possible trouble de la personnalité, sa psychiatre, la doctoresse B______, avait attesté le 14 octobre 2016 que la capacité de travail de l’assuré était de 50%. En janvier 2017, après un licenciement, l’assuré avait repris une consommation d’alcool et de cocaïne et interrompu son suivi psychiatrique, de même que ses traitements médicamenteux. Dès juin 2017, un nouveau sevrage de toute substance toxique et la reprise du suivi psychiatrique avaient permis une stabilisation des troubles. L’assuré avait cependant refusé la médication prescrite par sa psychiatre. Dans ce contexte, la Dresse B______ n’avait pas attesté d’incapacité de travail et estimé, le 28 juin 2017, que le maintien de l’abstinence de toxiques et l’observance du traitement médicamenteux permettaient à l’assuré de conserver une pleine capacité de travail. En conclusion, le SMR a considéré, s’agissant des troubles psychiques, que le TDAH répondait bien au traitement lorsque l’assuré y adhérait de façon satisfaisante. Le trouble de l’humeur était influencé par la dépendance primaire aux toxiques et à l’alcool, apparue à l’adolescence, dont les rechutes dues aux facteurs de stress psychosociaux aggravaient la symptomatologie. À l’inverse, l’abstinence avait permis chaque fois d’améliorer la thymie. Par ailleurs, dans la mesure où les atteintes orthopédiques évoquées n’avaient pas causé d’incapacité de travail durable, aucune atteinte incapacitante au sens de l’assurance-invalidité ne pouvait être retenue. ![endif]&gt;![if&gt; d. Par décision du 7 mai 2018, l’OAI a rejeté la demande de prestations, motif pris que l’assuré ne présentait pas d’atteinte à la santé du ressort de l’assurance-invalidité.![endif]&gt;![if&gt; e. Par appréciation médicale du 3 mai 2019, le docteur C______, médecin d’arrondissement de la SUVA caisse nationale suisse d'assurance en cas d'accidents (ci-après : la SUVA) – assureur-accidents de la caisse de chômage auprès de laquelle l’assuré était inscrit en 2017 – a indiqué que les suites d’un accident de moto survenu le 6 novembre 2017 avaient débouché sur des remaniements du ligament croisé antérieur [ci-après : LCA] du genou droit, une plastie de ce LCA, effectuée le 24 octobre 2018 par le docteur D______, spécialiste FMH en chirurgie orthopédique et traumatologie de l’appareil locomoteur, et une gonarthrose en progression, constatée le 12 mars 2019. Malgré l’intervention pratiquée le 24 octobre 2018, le Dr D______ avait confirmé son pronostic sombre pour le genou droit, en raison des lésions de chondropathie mises en évidence. De l’avis du Dr C______, ce genou était bien stable et la mobilité articulaire avait été récupérée. Le cas était stabilisé à ce jour, mais l’ancienne activité de tôlier en carrosserie n’était plus exigible vu l’état actuel de ce genou. Dans une activité professionnelle réalisée, au gré de l’assuré, en position assise ou debout, avec un port de charges limité à 10kg de façon ponctuelle, sans limitation au niveau de la mobilité des membres supérieurs, sans déplacement répété sur des terrains accidentés ou dans des escaliers, sans devoir monter sur une échelle, ni devoir travailler en position agenouillée ou accroupie, on pouvait s’attendre à une activité professionnelle réalisée à plein temps sans baisse de rendement. Cependant, compte tenu du risque d’aggravation des lésions arthrosiques, l’indication à une arthroplastie restait possible dans les années futures.![endif]&gt;![if&gt; B. a. Le 12 août 2019, l’assuré a déposé une nouvelle demande de prestations auprès de l’OAI en expliquant qu’il avait subi une opération au genou droit et que de l’avis de son médecin et de celui de la SUVA, il ne pouvait plus exercer son activité habituelle de tôlier, en raison de douleurs récurrentes. Sa capacité de travail était nulle depuis le 6 novembre 2017. ![endif]&gt;![if&gt; b. Par courrier du 27 septembre 2019 à l’OAI, le docteur E______, spécialiste en médecine interne générale, a indiqué qu’il suivait régulièrement l’assuré depuis quelques années. Sur le plan psychologique, celui-ci présentait un trouble de la personnalité, type borderline, sociopathe, associé à une toxicomanie (cocaïnomanie) et à un alcoolisme actif. Il avait bénéficié de nombreuses cures de désintoxication dans diverses cliniques, mais toutes s’étaient soldées par un échec. Les différents traitements psychotropes avaient été mal tolérés et s’étaient révélés inefficaces. Il présentait également un trouble déficitaire de l’attention avec hyperactivité, dont le traitement avait été non moins inefficace. S’ajoutaient, sur le plan physique, non seulement des gonalgies bilatérales sur gonarthrose, mais aussi des douleurs chroniques de l’épaule droite et des névralgies chroniques étagées en C6-C7. Ces diverses affections étaient à l’origine d’une incapacité de travail totale, dans tous les domaines d’activités.![endif]&gt;![if&gt; c. Le 25 octobre 2019, l’assuré a transmis à la SUVA des informations données en réponse à un questionnaire relatif à un accident dont il avait été victime le 2 octobre 2019 : en se réveillant durant la nuit pour aller aux WC, il avait trébuché sur une chaussure et avait chuté. ![endif]&gt;![if&gt; d. Par avis du 7 janvier 2020, le SMR a estimé que les éléments psychiatriques annoncés dans le rapport du Dr E______ du 27 septembre 2019 étaient similaires à ceux pris en compte dans le rapport final du SMR du 26 février 2018, lequel avait été établi suite aux rapports de la Dresse B______. Sur le plan somatique, la capacité de travail était nulle dans l’activité habituelle depuis le</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w:t>
      </w:r>
    </w:p>
    <w:p>
      <w:r>
        <w:t>![endif]&gt;![if&gt;</w:t>
      </w:r>
    </w:p>
    <w:p>
      <w:r>
        <w:rPr>
          <w:b/>
        </w:rPr>
        <w:t>E. 5.2.1</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3.1).![endif]&gt;![if&gt; 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2.1 et 2.1.1 ; ATF 130 V 396 consid. 5.3 et 6).</w:t>
      </w:r>
    </w:p>
    <w:p>
      <w:r>
        <w:rPr>
          <w:b/>
        </w:rPr>
        <w:t>E. 5.2.2</w:t>
      </w:r>
    </w:p>
    <w:p>
      <w:r>
        <w:t>Selon la jurisprudence constante du Tribunal fédéral, valable jusqu’à peu, une dépendance comme l’alcoolisme, la pharmacodépendance ou la toxicomanie ne constituait pas en soi une invalidité au sens de la loi. En revanche, elle jouait un rôle dans l’assurance-invalidité lorsqu’elle avait provoqué une atteinte à la santé physique ou mentale qui nuisait à la capacité de gain de l’assuré, ou si elle résultait elle-même d’une atteinte à la santé physique ou mentale qui avait valeur de maladie (ATF 99 V 28 consid. 2 ; VSI 2002 p. 32 consid. 2a, 1996 p. 319 consid. 2a).![endif]&gt;![if&gt; Dans un arrêt rendu le 11 juillet 2019, le Tribunal fédéral a expliqué que cette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(ATF 145 V 215 consid. 4.2 et la réf.). Dans cet arrêt, le Tribunal fédéral a modifié sa jurisprudence en ce sens que les syndromes de dépendance et les troubles liés à la consommation de substances (« Substanzkonsumstörungen »), diagnostiqués en bonne et due forme, ne sauraient se voir dénier d’emblée toute pertinence sous l’angle de l’assurance-invalidité mais doivent être considérés comme d’autres atteintes à la santé psychique pouvant entraîner une invalidité (ATF 145 V 215 précité consid. 5.3.3 et 6).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ATF 145 V 215 consid. 6.1, renvoyant à l’ATF 143 V 409 consid. 4.2.1). Dans l’ATF 143 V 409 , auquel se réfère l’ATF 145 V 215 précité, le Tribunal fédéral a modifié sa pratique en cas de troubles psychiques comme suit :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les troubles dépressifs de degré léger ou moyen (ATF 143 V 409 consid. 4.5.1).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(ATF 145 V 215 consid. 7 et 8.1). Par conséquent, il s’agit, comme pour tous les autres troubles psychiques, de déterminer selon une grille d’évaluation normative et structurée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lien avec l’art. 21 al. 4 LPGA permet le refus ou la réduction des prestations (ATF 145 V consid 5.3.1).</w:t>
      </w:r>
    </w:p>
    <w:p>
      <w:r>
        <w:rPr>
          <w:b/>
        </w:rPr>
        <w:t>E. 5.2.3</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(ressources).![endif]&gt;![if&gt;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6</w:t>
      </w:r>
    </w:p>
    <w:p>
      <w:r>
        <w:t>![endif]&gt;![if&gt;</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2).![endif]&gt;![if&gt;</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6.3.2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6.3.3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6.3.4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7</w:t>
      </w:r>
    </w:p>
    <w:p>
      <w:r>
        <w:t>![endif]&gt;![if&gt;</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5a).![endif]&gt;![if&gt;</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8</w:t>
      </w:r>
    </w:p>
    <w:p>
      <w:r>
        <w:t>![endif]&gt;![if&gt;</w:t>
      </w:r>
    </w:p>
    <w:p>
      <w:r>
        <w:rPr>
          <w:b/>
        </w:rPr>
        <w:t>E. 8.1</w:t>
      </w:r>
    </w:p>
    <w:p>
      <w:r>
        <w:t>Dans son rapport d’expertise du 20 juin 2022, le Dr F______ a retenu en synthèse que faute de limitations fonctionnelles psychiatriques objectivables, le recourant présentait uniquement des diagnostics sans répercussion sur la capacité de travail, à savoir un trouble anxieux et dépressif mixte (F41.2) depuis fin 2018, un trouble de la personnalité émotionnellement labile (F60.3) depuis le début de l’âge adulte, un trouble de l’attention avec hyperactivité légère (F90) depuis l’enfance, et une dépendance à plusieurs substances (F19.2 ; « alcool utilisation continue et cocaïne actuellement abstinent »). ![endif]&gt;![if&gt; Pour conclure au caractère non incapacitant des troubles évoqués, le Dr F______ a effectué une analyse des indicateurs jurisprudentiels pertinents et constaté que le recourant ne nécessitait pas d’aide significative durant « la journée type » avec des activités variées possibles et sans limitations (notamment lors de l’examen clinique), en dehors des moments où il buvait trop. En l’absence de limitations fonctionnelles objectivables depuis fin 2018 jusqu’à ce jour, selon l’anamnèse, l’examen clinique et la journée-type, l’indice de gravité de l’atteinte à la santé était absent. S’agissant du traitement, l’évolution des troubles précités était globalement stationnaire depuis fin 2018 jusqu’à ce jour, sans un traitement psychotrope et sans sevrage éthylique, qui n’était pas exigible vu l’absence de limitations fonctionnelles au quotidien. Quant aux comorbidités psychiatriques précitées, elles n’entrainaient pas non plus de limitations fonctionnelles significatives et objectivables, selon l’anamnèse, l’examen clinique et la journée-type. Concernant l’axe « personnalité » (diagnostic de la personnalité, ressources personnelles), l’anamnèse révélait que le recourant présentait de longue date des comportements durables et stables nettement disharmonieux dans plusieurs secteurs de fonctionnement, ce qui permettait de retenir la présence d’un trouble de la personnalité émotionnellement labile de type impulsif. Bien que présent depuis le début de l’âge adulte, ce trouble n’avait pas empêché le recourant de gérer son quotidien et de travailler sans limitations. S’agissant du contexte social, il apparaissait, au moment de l’expertise, que le recourant présentait un isolement social partiel, mais pas total. En ce qui concernait l’aspect « cohérence », l’expert objectivait une cohérence moyenne entre plusieurs plaintes subjectives et le constat objectif, mais sans exagération volontaire des plaintes. Au moment de l’expertise, le recourant gardait des capacités et ressources personnelles suffisantes, sans nécessiter une aide significative au quotidien et sans limitations fonctionnelles psychiatriques significatives selon l’anamnèse, la journée-type et l’examen clinique. Aussi ne pouvait-on retenir de limitation uniforme du niveau des activités dans tous les domaines comparables de la vie. Enfin, le recourant présentait une motivation ambivalente pour une réadaptation professionnelle dans un contexte de déconditionnement, et une motivation nulle pour un traitement antidépresseur et un sevrage éthylique selon l’anamnèse. En conclusion, le Dr F______ a estimé que les indices jurisprudentiels de gravité n’étaient pas remplis depuis fin 2018 jusqu’à présent, en l’absence de limitations fonctionnelles psychiatriques significatives objectivables pour les diagnostics retenus. La chambre de céans constate que le rapport d’expertise du Dr F______ comporte une anamnèse complète et détaillée d’un point de vue médical, familial et personnel, une description du status sur la base de deux entretiens d’expertise, du dossier médical, ainsi que des plaintes et, enfin, que les conclusions sont cohérentes et motivées à la lumière des indicateurs jurisprudentiels pertinents. Il convient donc en principe d’en reconnaître la valeur probante.</w:t>
      </w:r>
    </w:p>
    <w:p>
      <w:r>
        <w:rPr>
          <w:b/>
        </w:rPr>
        <w:t>E. 8.2</w:t>
      </w:r>
    </w:p>
    <w:p>
      <w:r>
        <w:t>Le recourant soutient que pour arriver à la conclusion qu’il peut travailler 9h par jour dans une activité adaptée (i.e. une activité en adéquation avec le niveau d’acquisitions et « sans confrontation aux substances »), l’expert aurait tiré argument des déclarations selon lesquelles il effectuerait lui-même ses courses et les tâches ménagères et qu’en conséquence, il pourrait travailler. Sans remettre en question la réalité de l’accomplissement de ces tâches et actes de la vie quotidienne, le recourant n’en estime pas moins que l’expert n’aurait pas tenu compte des troubles physiques dont il souffre et qu’en outre, il serait incohérent de prendre en compte une baisse de rendement de 30% seulement en cas de forte alcoolisation et de considérer ainsi qu’une consommation de 2 bouteilles de whisky par jour ne remplirait pas ce critère.![endif]&gt;![if&gt; Ces arguments ne sauraient être suivis. Il n’a, en effet, pas échappé à l’expert que le recourant estime ne pas être capable de retravailler au vu de la perception qui est la sienne (fatigabilité accrue, tremblement des mains qui l’empêchent d’exercer une activité en étant limité par ses douleurs). Cela étant, le Dr F______ n’en retient pas moins des discordances entre les activités possibles durant la journée-type étant donné que le recourant gère son quotidien sans difficultés objectivables « en dehors des activités lourdes physiquement » (rapport d’expertise, p. 27). Par cette dernière précision, le Dr F______ réserve certes les limitations fonctionnelles d’ordre physique mais il n’en constate pas moins, pour le domaine médical qui le concerne, que les divers troubles que l’assuré présente ne le privent pas de certaines ressources, comme en atteste le déroulement d’une journée-type. Dans le même ordre d’idées, il sied de relever que le recourant ne critique pas – à juste titre – le fait que le Dr F______ parvienne à la conclusion que d’un point de vue psychiatrique, l’activité antérieure de tôlier en carrosserie puisse toujours être exercée à plein temps, sous réserve d’une diminution de rendement de 30% « lors d’alcoolisations plus importantes ». En ce qui concerne ces dernières, il sied de constater que la dépendance à l’alcool remonte au début de l’âge adulte, qu’elle n’a pas été incapacitante (cf. expertise, p. 50) et qu’elle ne l’est pas non plus à partir de 2018. Le Dr F______ constate en effet, depuis lors, une évolution globalement stationnaire des troubles diagnostiqués jusqu’à la date de l’expertise, sans suivi psychiatrique ni sevrage, ni traitement psychotrope. Il ajoute qu’il n’existe pas d’exigibilité pour un traitement vu l’absence de limitations fonctionnelles significatives (expertise, p. 48-49), même s’il convient qu’un sevrage éthylique peut améliorer le pronostic d’une réinsertion professionnelle (cf. expertise, p. 53). Sachant par ailleurs que le recourant ne présentait pas de limitations objectivables lors de l’examen clinique (expertise, p. 27), malgré la consommation alléguée de 2 bouteilles de whisky par jour, qu’il fait la cuisine, le ménage, les courses et gère seul les tâches administratives (expertise, p. 25), il n’y pas d’incohérence dans le fait de retenir qu’une consommation d’alcool à la fois régulière et élevée n’exclurait pas des excès plus importants qui, eux seulement, s’ils se produisent, se répercutent de manière passagère sur le rendement au travail, la préservation de celui-ci étant la règle, à moins que les aspects somatiques du cas, qui ne sont pas du ressort de l’expert psychiatre et restent à instruire (ci-dessus : consid. 4.2), n’aboutissent à d’autres conclusions.</w:t>
      </w:r>
    </w:p>
    <w:p>
      <w:r>
        <w:rPr>
          <w:b/>
        </w:rPr>
        <w:t>E. 8.3</w:t>
      </w:r>
    </w:p>
    <w:p>
      <w:r>
        <w:t>Dans un deuxième moyen, le recourant soutient que l’expertise réalisée serait lacunaire dans la mesure où le Dr F______ affirme lui-même n’avoir pas soumis le recourant au test de BECK, celui-ci permettant de mesurer la gravité subjective des symptômes dépressifs. ![endif]&gt;![if&gt; Cette objection et la conclusion que le recourant en tire ne sauraient être suivies. La chambre de céans constate tout d’abord qu’à l’instar d’autres diagnostics au sens de la CIM-10, la recherche d’éventuels troubles dépressifs a été dûment investiguée (expertise, p. 31-34 et 44). Il importe de rappeler ensuite que la question de savoir si des examens médicaux spécialisés sont nécessaires pour établir un diagnostic et, le cas échéant, lesquels, ne sont pas du ressort de l’autorité chargée d’appliquer le droit, mais exclusivement de celui du médecin chargé de l’expertise (arrêt du Tribunal fédéral 8C_794/2018 du 15 juillet 2019 consid. 4.2 et la référence).</w:t>
      </w:r>
    </w:p>
    <w:p>
      <w:r>
        <w:rPr>
          <w:b/>
        </w:rPr>
        <w:t>E. 8.4</w:t>
      </w:r>
    </w:p>
    <w:p>
      <w:r>
        <w:t>S’agissant, enfin, de l’argument tiré d’une dégradation de l’évolution clinique depuis septembre 2019 (cf. rapport du 16 janvier 2021 du Dr E______), respectivement d’une incapacité de travail totale selon le Dr D______ (cf. rapport du 29 janvier 2021), il ne mérite pas que l’on s’y attarde, compte tenu d’un champ d’analyse qui, pour le Dr D______, ne concerne pas les aspects psychiques du cas et, pour le Dr E______, les dépasse, mais sans que ce médecin fasse état d’éléments objectivement vérifiables qui auraient été ignorés par l’expert psychiatre.![endif]&gt;![if&gt;</w:t>
      </w:r>
    </w:p>
    <w:p>
      <w:r>
        <w:rPr>
          <w:b/>
        </w:rPr>
        <w:t>E. 8.5</w:t>
      </w:r>
    </w:p>
    <w:p>
      <w:r>
        <w:t>Il résulte de ce qui précède que les arguments développés par le recourant – sur la base de l’état de fait tel qu’il se présentait au moment de la décision litigieuse (cf. ci-dessus : consid. 3) – ne sont pas de nature à remettre en cause les conclusions du rapport d’expertise du Dr F______. En conséquence, il est établi, au degré requis de la vraisemblance prépondérante, que sur le plan psychique, l’état de santé du recourant ne s’est pas aggravé depuis la décision du 7 mai 2018. ![endif]&gt;![if&gt; Compte tenu toutefois du caractère lacunaire de l’instruction menée sur le plan somatique (cf. ci-dessus : consid. 4.2), la chambre de céans ne dispose pas, en l’état, d’assez d’éléments pour se prononcer sur une modification de l’état de santé qui serait propre à influencer le degré d’invalidité du recourant.</w:t>
      </w:r>
    </w:p>
    <w:p>
      <w:r>
        <w:rPr>
          <w:b/>
        </w:rPr>
        <w:t>E. 9</w:t>
      </w:r>
    </w:p>
    <w:p>
      <w:r>
        <w:t>Il convient donc d’admettre partiellement le recours, d’annuler la décision du 6 octobre 2022 et de renvoyer la cause à l’intimé pour qu’il en complète l’instruction et, cela fait, rende une nouvelle décision.![endif]&gt;![if&gt;</w:t>
      </w:r>
    </w:p>
    <w:p>
      <w:r>
        <w:rPr>
          <w:b/>
        </w:rPr>
        <w:t>E. 10</w:t>
      </w:r>
    </w:p>
    <w:p>
      <w:r>
        <w:t>Le recourant, représenté par son curateur, a droit à des dépens, qui seront fixés à CHF 1’500.- (art. 61 let. g LPGA). En effet, selon la jurisprudence, l’avocat désigné comme curateur qui mène avec succès le procès de son protégé peut prétendre à des dépens, s’il obtient gain de cause (ATF 124 V 338 consid. 4).![endif]&gt;![if&gt;</w:t>
      </w:r>
    </w:p>
    <w:p>
      <w:r>
        <w:rPr>
          <w:b/>
        </w:rPr>
        <w:t>E. 11</w:t>
      </w:r>
    </w:p>
    <w:p>
      <w:r>
        <w:t>Au vu du sort du recours, il y a lieu de condamner l’intimé au paiement d’un émolument de CHF 200.-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