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A/36/2023 vom 22. Dezember 2023</w:t>
      </w:r>
    </w:p>
    <w:p>
      <w:r>
        <w:t>GE Cour de justice, 2023-12-22, FR</w:t>
      </w:r>
    </w:p>
    <w:p>
      <w:r>
        <w:rPr>
          <w:b/>
        </w:rPr>
        <w:t xml:space="preserve">Quelle: </w:t>
      </w:r>
      <w:r>
        <w:t>https://mcp.opencaselaw.ch/entscheid/ge_gerichte_A_36_2023</w:t>
      </w:r>
    </w:p>
    <w:p>
      <w:r>
        <w:t>FR: GE_GERICHTE A/36/2023 du 22 décembre 2023</w:t>
      </w:r>
    </w:p>
    <w:p>
      <w:r>
        <w:t>IT: GE_GERICHTE A/36/2023 del 22 dicembre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(ci-après : AI), à moins que la loi n'y déroge expressément.![endif]&gt;![if&gt;</w:t>
      </w:r>
    </w:p>
    <w:p>
      <w:r>
        <w:rPr>
          <w:b/>
        </w:rPr>
        <w:t>E. 3</w:t>
      </w:r>
    </w:p>
    <w:p>
      <w:r>
        <w:t>Le 1 er janvier 2021 est entrée en vigueur la modification du 21 juin 2019 de la LPGA. Dans la mesure où le recours a été interjeté postérieurement au 1 er janvier 2021, il est soumis au nouveau droit (cf. art. 82 a LPGA a contrario).![endif]&gt;![if&gt;</w:t>
      </w:r>
    </w:p>
    <w:p>
      <w:r>
        <w:rPr>
          <w:b/>
        </w:rPr>
        <w:t>E. 4</w:t>
      </w:r>
    </w:p>
    <w:p>
      <w:r>
        <w:t>Le 1 er janvier 2022, les modifications de la LAI et de la LPGA du 19 juin 2020 (développement continu de l’AI ; RO 2021 705), y compris les ordonnances correspondantes, sont entrées en vigueur.![endif]&gt;![if&gt;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est intervenue jusqu’à cette date. Si tel est le cas, les dispositions de la LAI et celles du règlement sur l’assurance-invalidité du 17 janvier 1961 (RAI - RS 831.201) dans leur version valable jusqu'au 31 décembre 2021 sont applicables. Si la modification déterminante est intervenue après cette date, les dispositions de la LAI et du RAI dans leur version en vigueur à partir du 1 er janvier 2022 sont applicables. La date pertinente de la modification est déterminée par l'art. 88 a RAI (arrêts du Tribunal fédéral 8C_55/2023 du 11 juillet 2023 consid. 2.2 ; 8C_644/2022 du 8 février 2023 consid. 2.2.3). La réglementation légale concernant la révision et le réexamen de décisions ou de décisions sur opposition entrées en force (art. 53 LPGA) n'a pas été modifiée dans le cadre du développement de l'AI susmentionné, raison pour laquelle aucune question de droit intertemporel ne se pose à cet égard (cf. arrêt du Tribunal fédéral 8C_644/2022 précité consid. 2.2.2). En l’occurrence, la décision litigieuse a été rendue après le 1 er janvier 2022. Toutefois, l’éventuelle modification de circonstances litigieuses invoquée par la recourante à l’appui de sa nouvelle demande est supposée remonter à avant cette date. Par conséquent, les dispositions applicables seront citées dans leur teneur en vigueur jusqu’au 31 décembre 2021.</w:t>
      </w:r>
    </w:p>
    <w:p>
      <w:r>
        <w:rPr>
          <w:b/>
        </w:rPr>
        <w:t>E. 5</w:t>
      </w:r>
    </w:p>
    <w:p>
      <w:r>
        <w:t>Interjeté dans les forme et délai prévus par la loi, le recours est recevable (art. 56ss LPGA ; art. 62 al. 1 de la loi sur la procédure administrative du 12 septembre 1985 [LPA - E 5 10]). ![endif]&gt;![if&gt;</w:t>
      </w:r>
    </w:p>
    <w:p>
      <w:r>
        <w:rPr>
          <w:b/>
        </w:rPr>
        <w:t>E. 6</w:t>
      </w:r>
    </w:p>
    <w:p>
      <w:r>
        <w:t>Le litige porte sur le bien-fondé de la décision de l’intimé du 17 novembre 2022 de rejeter la nouvelle demande de prestations de la recourante. En d’autres termes, il convient de vérifier si, comme le retient l’intimé, l’état de santé de l’assurée ne s’est pas aggravé au point de lui ouvrir droit à des prestations depuis la décision initiale du 23 octobre 2008. ![endif]&gt;![if&gt;</w:t>
      </w:r>
    </w:p>
    <w:p>
      <w:r>
        <w:rPr>
          <w:b/>
        </w:rPr>
        <w:t>E. 7</w:t>
      </w:r>
    </w:p>
    <w:p>
      <w:r>
        <w:t>![endif]&gt;![if&gt;</w:t>
      </w:r>
    </w:p>
    <w:p>
      <w:r>
        <w:rPr>
          <w:b/>
        </w:rPr>
        <w:t>E. 7.1</w:t>
      </w:r>
    </w:p>
    <w:p>
      <w:r>
        <w:t>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LPGA.![endif]&gt;![if&gt;</w:t>
      </w:r>
    </w:p>
    <w:p>
      <w:r>
        <w:rPr>
          <w:b/>
        </w:rPr>
        <w:t>E. 7.2</w:t>
      </w:r>
    </w:p>
    <w:p>
      <w:r>
        <w:t>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w:t>
      </w:r>
    </w:p>
    <w:p>
      <w:r>
        <w:rPr>
          <w:b/>
        </w:rPr>
        <w:t>E. 7.3</w:t>
      </w:r>
    </w:p>
    <w:p>
      <w:r>
        <w:t>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1.2).![endif]&gt;![if&gt;</w:t>
      </w:r>
    </w:p>
    <w:p>
      <w:r>
        <w:rPr>
          <w:b/>
        </w:rPr>
        <w:t>E. 7.4</w:t>
      </w:r>
    </w:p>
    <w:p>
      <w:r>
        <w:t>Le point de savoir si un changement notable des circonstances s’est produit doit être tranché en comparant les faits tels qu’ils se présentaient au moment de la dernière révision de la rente entrée en force – en l’occurrence le 23 octobre 2008 et les circonstances qui régnaient à l’époque de la décision litigieuse – du 17 novembre 2022.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3.5.2).![endif]&gt;![if&gt;</w:t>
      </w:r>
    </w:p>
    <w:p>
      <w:r>
        <w:rPr>
          <w:b/>
        </w:rPr>
        <w:t>E. 8</w:t>
      </w:r>
    </w:p>
    <w:p>
      <w:r>
        <w:t>Se pose en premier lieu la question du statut à accorder à l’assurée, celle-ci affirmant que, si sa santé le lui avait permis, elle aurait travaillé à plein temps, alors que l’intimé la considère comme non active. ![endif]&gt;![if&gt;</w:t>
      </w:r>
    </w:p>
    <w:p>
      <w:r>
        <w:rPr>
          <w:b/>
        </w:rPr>
        <w:t>E. 8.1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w:t>
      </w:r>
    </w:p>
    <w:p>
      <w:r>
        <w:rPr>
          <w:b/>
        </w:rPr>
        <w:t>E. 8.2</w:t>
      </w:r>
    </w:p>
    <w:p>
      <w:r>
        <w:t>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ATF 141 V 15 consid. 3.1 ; ATF 137 V 334 consid. 3.2 ; ATF 125 V 146 consid. 2c ainsi que les références).![endif]&gt;![if&gt;</w:t>
      </w:r>
    </w:p>
    <w:p>
      <w:r>
        <w:rPr>
          <w:b/>
        </w:rPr>
        <w:t>E. 8.3</w:t>
      </w:r>
    </w:p>
    <w:p>
      <w:r>
        <w:t>En l’espèce, l’intimé fonde sa position sur le fait que, depuis son arrivée en Suisse, en 2002, la recourante n’a jamais exercé la moindre activité lucrative. L’intéressée allègue pour sa part qu’en bonne santé, elle aurait exercé à plein l’activité d’auxiliaire de santé dans laquelle elle avait commencé à se former et que si elle n’a pas mené ses projets à bien, c’est en raison uniquement de l’accident survenu en mars 2004. S’agissant de la période antérieure, elle fait remarquer que son statut ne lui permettait pas de travailler en Suisse. ![endif]&gt;![if&gt; Il est vrai que lors de l’enquête ménagère et à plusieurs de ses médecins, la recourante a affirmé la même chose. Cela étant, il n’en demeure pas moins qu’en 2008, l’OAI a constaté qu’elle disposait d’une capacité de travail pleine et entière et que jamais, depuis l’accident, l’assurée n’a tenté de reprendre la moindre formation ou activité, alors même qu’une expertise était parvenue à la conclusion qu’il n’y avait aucune atteinte à la santé invalidante. Dans ces conditions, ses déclarations ne peuvent être considérées que comme de simples déclarations d’intention, non suivies d’actes concrets et donc non crédibles. C’est dès lors à juste titre que l’intimé lui a reconnu un statut de ménagère, d’autant que la situation du couple ne paraît pas obérée sur le plan financier. On rappellera encore à cet égard que, contrairement à ce qu’allègue la recourante, l’intimé ne lui a pas, par le passé reconnu un statut d’active. Et quand bien même, cela n’augurerait en rien de la décision finale de l’intimé, étant rappelé que la question du statut à reconnaître à un assuré s’examine tant lors de l'examen initial du droit aux prestations qu'à l'occasion d'une révision de celle-ci. Ce grief doit donc être écarté. Le statut de l’assurée est bel et bien celui d’une personne inactive.</w:t>
      </w:r>
    </w:p>
    <w:p>
      <w:r>
        <w:rPr>
          <w:b/>
        </w:rPr>
        <w:t>E. 9</w:t>
      </w:r>
    </w:p>
    <w:p>
      <w:r>
        <w:t>![endif]&gt;![if&gt;</w:t>
      </w:r>
    </w:p>
    <w:p>
      <w:r>
        <w:rPr>
          <w:b/>
        </w:rPr>
        <w:t>E. 9.1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9.2</w:t>
      </w:r>
    </w:p>
    <w:p>
      <w:r>
        <w:t>L’assuré a droit à une rente entière s’il est invalide à 70% au moins, à un trois quarts de rente s'il est invalide à 60 % au moins, à une demi-rente s’il est invalide à 50% au moins, ou à un quart de rente s’il est invalide à 40% au moins (art. 28 al. 2 LAI).![endif]&gt;![if&gt;</w:t>
      </w:r>
    </w:p>
    <w:p>
      <w:r>
        <w:rPr>
          <w:b/>
        </w:rPr>
        <w:t>E. 9.3</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w:t>
      </w:r>
    </w:p>
    <w:p>
      <w:r>
        <w:rPr>
          <w:b/>
        </w:rPr>
        <w:t>E. 9.4</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2007).![endif]&gt;![if&gt;</w:t>
      </w:r>
    </w:p>
    <w:p>
      <w:r>
        <w:rPr>
          <w:b/>
        </w:rPr>
        <w:t>E. 9.5</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références).![endif]&gt;![if&gt;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Le Tribunal fédéral a récemment confirmé qu'il n'y a pas de motif de revenir sur le principe de l'obligation de diminuer le dommage tel que dégagé par la jurisprudence (arrêt du Tribunal fédéral 9C_248/2022 du 25 avril 2023 consid. 5.3 et les références).</w:t>
      </w:r>
    </w:p>
    <w:p>
      <w:r>
        <w:rPr>
          <w:b/>
        </w:rPr>
        <w:t>E. 9.6</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2005).![endif]&gt;![if&gt;</w:t>
      </w:r>
    </w:p>
    <w:p>
      <w:r>
        <w:rPr>
          <w:b/>
        </w:rPr>
        <w:t>E. 9.7</w:t>
      </w:r>
    </w:p>
    <w:p>
      <w:r>
        <w:t>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référence).![endif]&gt;![if&gt;</w:t>
      </w:r>
    </w:p>
    <w:p>
      <w:r>
        <w:rPr>
          <w:b/>
        </w:rPr>
        <w:t>E. 10</w:t>
      </w:r>
    </w:p>
    <w:p>
      <w:r>
        <w:t>![endif]&gt;![if&gt;</w:t>
      </w:r>
    </w:p>
    <w:p>
      <w:r>
        <w:rPr>
          <w:b/>
        </w:rPr>
        <w:t>E. 10.1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3.1).![endif]&gt;![if&gt;</w:t>
      </w:r>
    </w:p>
    <w:p>
      <w:r>
        <w:rPr>
          <w:b/>
        </w:rPr>
        <w:t>E. 10.2</w:t>
      </w:r>
    </w:p>
    <w:p>
      <w:r>
        <w:t>La reconnaissance de l’existence d’une atteinte à la santé psychique suppose la présence d’un diagnostic émanant d’un expert (psychiatre) et s’appuyant selon les règles de l’art sur les critères d’un système de classification reconnu, telle la classification internationale des maladies (ci-après : CIM) ou le DSM-IV (Diagnostic and Statistical Manual) (ATF 143 V 409 consid. 4.5.2 ; ATF 141 V 281 consid. 2.1 et 2.1.1 ; ATF 130 V 396 consid. 5.3 et 6).![endif]&gt;![if&gt;</w:t>
      </w:r>
    </w:p>
    <w:p>
      <w:r>
        <w:rPr>
          <w:b/>
        </w:rPr>
        <w:t>E. 10.3</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nombre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références).![endif]&gt;![if&gt;</w:t>
      </w:r>
    </w:p>
    <w:p>
      <w:r>
        <w:rPr>
          <w:b/>
        </w:rPr>
        <w:t>E. 10.4</w:t>
      </w:r>
    </w:p>
    <w:p>
      <w:r>
        <w:t>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3.2).![endif]&gt;![if&gt;</w:t>
      </w:r>
    </w:p>
    <w:p>
      <w:r>
        <w:rPr>
          <w:b/>
        </w:rPr>
        <w:t>E. 10.5</w:t>
      </w:r>
    </w:p>
    <w:p>
      <w:r>
        <w:t>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(cf. ATF 141 V 281 consid. 2.2 ; arrêt du Tribunal fédéral 9C_756/2018 du 17 avril 2019 5.2.2 et la référence).![endif]&gt;![if&gt;</w:t>
      </w:r>
    </w:p>
    <w:p>
      <w:r>
        <w:rPr>
          <w:b/>
        </w:rPr>
        <w:t>E. 10.6</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 12 juillet 2019 consid. 4.3 et la référence ; 9C_724/2018 du 11 juillet 2019 consid. 7). En l’absence d’un diagnostic psychiatrique, une telle appréciation n’a pas non plus à être effectuée (arrêt du Tribunal fédéral 9C_176/2018 du 16 août 2018 consid. 3.2.2).![endif]&gt;![if&gt;</w:t>
      </w:r>
    </w:p>
    <w:p>
      <w:r>
        <w:rPr>
          <w:b/>
        </w:rPr>
        <w:t>E. 10.7</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![endif]&gt;![if&gt; Il y a lieu de se fonder sur une grille d’analyse comportant divers indicateurs qui rassemblent les éléments essentiels propres aux troubles de nature psychosomatique (ATF 141 V 281 consid. 4). -       Catégorie « Degré de gravité fonctionnel » (ATF 141 V 281 consid. 4.3),![endif]&gt;![if&gt; A.    Complexe « Atteinte à la santé » (consid. 4.3.1)![endif]&gt;![if&gt; Expression des éléments pertinents pour le diagnostic (consid. 4.3.1.1), succès du traitement et de la réadaptation ou résistance à cet égard (consid. 4.3.1.2), comorbidités (consid. 4.3.1.3). B.     Complexe « Personnalité » (diagnostic de la personnalité, ressources personnelles ; consid. 4.3.2) ![endif]&gt;![if&gt; C.     Complexe « Contexte social » (consid. 4.3.3)![endif]&gt;![if&gt; -       Catégorie « Cohérence » (aspects du comportement ; consid. 4.4) ![endif]&gt;![if&gt;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11</w:t>
      </w:r>
    </w:p>
    <w:p>
      <w:r>
        <w:t>![endif]&gt;![if&gt;</w:t>
      </w:r>
    </w:p>
    <w:p>
      <w:r>
        <w:rPr>
          <w:b/>
        </w:rPr>
        <w:t>E. 11.1</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2).![endif]&gt;![if&gt;</w:t>
      </w:r>
    </w:p>
    <w:p>
      <w:r>
        <w:rPr>
          <w:b/>
        </w:rPr>
        <w:t>E. 11.2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![endif]&gt;![if&gt;</w:t>
      </w:r>
    </w:p>
    <w:p>
      <w:r>
        <w:rPr>
          <w:b/>
        </w:rPr>
        <w:t>E. 11.3</w:t>
      </w:r>
    </w:p>
    <w:p>
      <w:r>
        <w:t>Sans remettre en cause le principe de la libre appréciation des preuves, le Tribunal fédéral des assurances a posé des lignes directrices en ce qui concerne la manière d'apprécier certains types d'expertises ou de rapports médicaux.![endif]&gt;![if&gt;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 ATF 137 V 210 consid. 6 ; arrêts du Tribunal fédéral 9C_808/2019 du 18 août 2020 consid. 5.2. et 9C_109/2018 du 15 juin 2018 consid. 5.1).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12</w:t>
      </w:r>
    </w:p>
    <w:p>
      <w:r>
        <w:t>![endif]&gt;![if&gt;</w:t>
      </w:r>
    </w:p>
    <w:p>
      <w:r>
        <w:rPr>
          <w:b/>
        </w:rPr>
        <w:t>E. 12.1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12.2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 ![endif]&gt;![if&gt;</w:t>
      </w:r>
    </w:p>
    <w:p>
      <w:r>
        <w:rPr>
          <w:b/>
        </w:rPr>
        <w:t>E. 12.3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s’il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13</w:t>
      </w:r>
    </w:p>
    <w:p>
      <w:r>
        <w:t>![endif]&gt;![if&gt;</w:t>
      </w:r>
    </w:p>
    <w:p>
      <w:r>
        <w:rPr>
          <w:b/>
        </w:rPr>
        <w:t>E. 13.1</w:t>
      </w:r>
    </w:p>
    <w:p>
      <w:r>
        <w:t>En l’espèce, l’intimé, suivant en cela l’avis des experts et les conclusions de l’enquête ménagère considère que l’état de santé de l’assurée ne l’empêche d’assumer ses tâches habituelles qu’à hauteur de 29.60% compte tenu d’une aide exigible de son mari et de son fils qui partagent son logement.![endif]&gt;![if&gt;</w:t>
      </w:r>
    </w:p>
    <w:p>
      <w:r>
        <w:rPr>
          <w:b/>
        </w:rPr>
        <w:t>E. 13.2</w:t>
      </w:r>
    </w:p>
    <w:p>
      <w:r>
        <w:t>La recourante le conteste. Elle critique les conclusions tant de l’expertise que de l’enquête ménagère et l’aide exigible retenue pour ses proches et considère que c’est un quart de rente au moins qui devrait lui être alloué. ![endif]&gt;![if&gt;</w:t>
      </w:r>
    </w:p>
    <w:p>
      <w:r>
        <w:rPr>
          <w:b/>
        </w:rPr>
        <w:t>E. 13.3</w:t>
      </w:r>
    </w:p>
    <w:p>
      <w:r>
        <w:t>Il convient tout d’abord de rappeler quel était l’état de santé de la recourante en 2008, date à laquelle a été rendue la décision initiale de refus de prestation. ![endif]&gt;![if&gt; À l’époque, les diagnostics étaient sensiblement les mêmes : des troubles dégénératifs, d’une part, et un syndrome douloureux somatoforme, d’autre part. Les experts de la CRR avaient alors conclu à la présence de lombalgies et de cervicalgies liées à des atteintes dégénératives rachidiennes lombaires et cervicales, responsables de limitations fonctionnelles, mais n’interdisant pas l’exercice, à plein temps, d’une activité adaptée. Sur le plan psychiatrique, chez cette assurée décrite comme extrêmement plaintive, le diagnostic de syndrome douloureux somatoforme persistant a été retenu, mais sans incidence sur la capacité de travail. Avaient alors déjà été relevés de nombreux signes de non-organicité et des traits de personnalité histrioniques. Les troubles psychiques ont été qualifiés de non invalidants. Au terme de la nouvelle expertise effectuée à la demande de la Cour de céans, les experts de la CRR sont parvenus, en substance, aux mêmes conclusions. Les diagnostics suivants ont été retenus : troubles dégénératifs rachidiens avec discopathies cervicales et lombaires, hernie discale C5-C6 paramédiane gauche et canal étroit léger en L4-L5 sans répercussion radiculaire. Ont également été mentionnés, en précisant qu’ils étaient sans répercussion sur la capacité de travail : un syndrome douloureux somatoforme persistant, un syndrome de dépendance aux psychotropes (benzodiazépines) et un trouble dissociatif mixte probable. Cette nouvelle expertise a donc abouti à un constat similaire à celui de l’expertise antérieure : sur le plan somatique, les diagnostics sont restés inchangés et les limitations fonctionnelles (nécessité de varier les positions, absence de travail lourd ou de port de charges supérieures à 5kg), déjà retenues en 2008, restent les mêmes. La question de l’authenticité de l’atteinte du champ visuel, comme celle d’une atteinte neuropsychologique, n’ont pu être confirmées, ce que les experts n’ont pas trouvé surprenant, en l’absence de traumatisme crânien dûment documenté. L’aggravation d’une dépression n’a pas non plus été confirmée. Sur le plan psychiatrique, aucun diagnostic incapacitant n’a été retenu. La recourante reproche à l’expertise de tenir compte d’une incohérence dont elle estime qu’elle fait partie de son problème de santé, à savoir le trouble somatoforme douloureux persistant. Elle soutient qu’elle ne dispose pas de ressources suffisantes. Elle reproche à l’expert d’avoir écarté le diagnostic d’épisode dépressif sans véritablement expliquer pour quelles raisons. Enfin, elle considère que l’indicateur relatif à la résistance aux traitements est rempli, puisqu’elle prend du Cymbalta depuis des années, sans bénéfice majeur. La recourante contestant les conclusions des experts, il convient d’examiner quelle valeur probante doit leur être accordée. Sur le plan formel, on relèvera que le rapport d’expertise remplit tous les réquisits jurisprudentiels pour se voir reconnaître une pleine valeur probante. Quant à son contenu, il en va de même, comme cela ressort de ce qui suit. En effet, les experts, contrairement à ce qu’allègue la recourante, ont expliqué de manière convaincante et détaillée les conclusions retenues. En l’absence évidente d’aggravation sur le plan somatique, les experts ont expliqué s’être focalisés plus particulièrement sur les aspects ophtalmologiques, neuropsychologiques et psychiatriques. Ils expliquent avoir trouvé une assurée très semblable à la description faite dans les rapports de 2008 : elle fait son âge, mais est déconditionnée et se comporte en invalide. Les experts soulignent avoir tous été frappés par son caractère plaintif, démonstratif, sa collaboration médiocre, ses réponses laconiques aux questions et une attitude parasitant les examens cliniques, en particulier neurologiques. Les plaintes mises en avant pour expliquer l’incapacité à la moindre tâche, y compris à son domicile, restent principalement les lombalgies et les cervicalgies. S’y associent aussi une intolérance à la lumière, des troubles de l’équilibre et des nucalgies. Toutes ces plaintes sont reliées par l’assurée à sa chute, en 2004. Cependant, une IRM cérébrale pratiquée en octobre 2004 n’a révélé aucune particularité. Les experts soulignent que rien n’indique qu’il y ait réellement eu traumatisme du crâne. La prise en charge psychiatrique immédiate de l’assurée (deux jours plus tard), indique qu’elle n’a pas été prise en charge par les urgences des Hôpitaux universitaires de Genève (ci-après : HUG), comme le serait une victime d’un traumatisme crânien authentique. Dès lors, les experts s’expliquent mal quel traumatisme pourrait avoir eu de telles conséquences ophtalmologiques et neuropsychologiques. Sur le plan neurologique, l’imagerie a confirmé à plusieurs reprises l’existence de troubles dégénératifs et la présence d’une hernie discale, mais aucune anomalie centrale n’a jamais été mise en évidence. L’examen clinique neurologique est normal. L’électroneuromyograme (ENMG) n’a mis en évidence aucun signe de dénervation au niveau cervical ou lombaire. Comme l’a dit le docteur ROSSI, orthopédiste, en septembre 2014, la situation est restée strictement inchangée. Les cervicalgies et lombosciatalgies sont susceptibles d’entraîner quelques limitations fonctionnelles, mais permettent, dans une activité les respectant, une capacité de travail entière. Sur le plan neuropsychologique, l’hypothèse d’un déficit à l’origine des difficultés d’examen du champ visuel a été évoquée, mais il est impossible d’en définir la mesure exacte. Les performances sont effondrées dans tous les domaines. Ces performances ne sont pas valides en fonction des incohérences à la fois intra-test et inter-test et entre le comportement et les performances mesurées (les réponses de l’assurée ont parfois même été erronées au-delà de celles que produirait le hasard). L’expertise ophtalmologique s’accorde avec les conclusions de la précédente. Les plaintes sont dues pour une large part à l’œil sec, dont le traitement médical est adéquat. L’hypermétropie et un astigmatisme fort, ainsi qu’une presbytie sont confirmés, mais l’assurée ne porte pas de verres correcteurs parce qu’elle les a cassés. Elle ne porte que des lunettes teintées en raison de sa photophobie. Le champ visuel est, en apparence, diminué de manière concentrique et l’acuité visuelle abaissée, depuis les années 2007 et non depuis l’accident. L’examen objectif des yeux, des cornées, des cristallins et des fonds d’œil ne permet pas d’expliquer ces faits. La perturbation du champ visuel qui aurait été causée par une chute ne serait pas de la nature de celle « observée ». En d’autres termes, l’expertise ophtalmologique n’a permis de trouver aucun substrat somatique. Sur le plan psychiatrique, la collaboration de l’assurée s’est une fois encore révélée aléatoire : recueillir l’anamnèse a été laborieux en raison des réponses laconiques. L’assurée ne décrit pas de collaboration aux tâches ménagères, mais effectue des promenades régulières, au moins quotidiennes. Son cercle relationnel est certes réduit à sa famille, mais elle bénéficie du soutien de sa sœur, de ses enfants et de son mari qui l’accompagnent dans ses promenades, le matin comme l’après-midi. Les experts neuropsychologue et psychiatre n’ont observé aucune altération significative des fonctions supérieures, bien que le comportement de l’assurée puisse donner le change. Ils ont souligné que l’hypothèse d’un syndrome de stress post-traumatique n’est pas compatible avec les circonstances mêmes de l’accident, qui ne peut en aucun cas être considéré « exceptionnellement menaçant ou catastrophique ». D’ailleurs, ils n’ont relevé aucun phénomène intrusif de reviviscences ou de cauchemars caractéristiques d’un tel syndrome. Les signes d’une dépression, s’ils ont pu être présents, ne sont pas suffisants pour retenir un état dépressif constitué. À cet égard, les experts ont expliqué que l’assurée est perçue comme euthymique. Aucun des critères pour qualifier un épisode dépressif n’a pu être retenu. Les plaintes somatiques multiples – dont seules les lombalgies et les cervicalgies peuvent correspondre à un substrat organique – les ont à nouveau conduits à retenir le diagnostic de syndrome douloureux somatoforme. Les experts ont reconnu que l’examen des indicateurs selon la jurisprudence était difficile, mais souligné que c’était en raison du manque de collaboration de l’assurée. Des incohérences ont été perçues à l’examen clinique, entre les plaintes et l’observation de la gestuelle de l’assurée. Si la présence des limitations fonctionnelles est décrite dans la vie quotidienne, il est difficile de la confirmer par le simple recueil de l’anamnèse. Elle n’empêche pas l’assurée d’effectuer des promenades quotidiennes ou biquotidiennes. Cela n’est pas cohérent avec la présentation de l’assurée lors des examens. Les réponses négatives à certains tests de l’examen neuropsychologique l’ont été au-delà du hasard. L’assurée a aussi déclaré avoir débuté un suivi chez un nouveau psychiatre traitant, qui l’a démentie en expliquant que ce suivi n’était que prévu. Ce sont tous ces éléments qui ont poussé les experts à retenir les facteurs d’exclusion plutôt que les facteurs de gravité. À cet égard, on constatera que les phénomènes de majoration évidente des symptômes relevés par les experts l’avaient déjà été par leurs collègues de la CRR en 2008, ce qui corrobore leurs constatations. L’expert psychiatre a expressément indiqué que s’il ne retenait pas de signes de sévérité suffisants pour conclure à un état dépressif constitué, c’est parce que les symptômes annoncés étaient étroitement liés au vécu des douleurs. Celles-ci ne trouvant pas d’explications suffisantes dans une étiologie somatique, il privilégiait le diagnostic de syndrome douloureux somatoforme, dont il qualifiait le degré de sévérité de modeste et comparable à celui déjà observé et décrit par le passé. Les mêmes phénomènes sont d’ailleurs rapportés par tous les experts, en particulier le neuropsychologue, qui a décrit l’assurée comme plaintive, avec une collaboration passive et médiocre. Ce praticien, s’il a noté des performances cognitives globalement effondrées dans tous les domaines investigués, a souligné que ce profil cognitif ne pouvait être considéré comme valide, car grevé de nombreuses incohérences entre les tests, à l’intérieur des tests, entre le comportement et les performances mesurées, et entre l’absence d’atteintes neurologiques et les résultats effondrés. Ainsi a-t-il relevé : - des temps de réaction très ralentis en l’absence de ralentissement lors de l’entretien ; - des tests de reconnaissance en choix forcé en mémoire généralement réussis facilement chez les sujets contrôles sans atteintes cérébrales ou très peu altérés chez les patients cérébro-lésés donnant lieu, chez l’assurée, à des performances au niveau du hasard, voire en-dessous du niveau du hasard ; - des erreurs à l’écriture atypique et corrigeables sur incitation ; - la reproduction immédiate de séries automatiques ne requérant pas d’activités cognitives élaborées qui échouent ; - des performances abaissées dans le domaine practo-gnosique atypique en l’absence d’atteintes neurologiques et ne pouvant être expliquées par une éventuelle humeur abaissée ; - un profil effondré sur le plan exécutif incompatible avec le comportement lors de l’entretien et le discours, bien structuré. Pour toutes ces raisons, il lui était impossible de retenir des limitations fonctionnelles sur le plan neuropsychologique : les performances mesurées reflétaient un manque d’efforts dans les tâches et non le réel potentiel cognitif de l’assurée. C’est le lieu de rappeler que le Tribunal fédéral a maintenu, voire renforcé la portée des motifs d'exclusion définis dans l'ATF 131 V 49 , aux termes desquels il y a lieu de conclure à l'absence d'atteinte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 En l’état, force est de constater que l’on ne saurait ainsi retenir l’existence d’une atteinte à la santé importante et pertinente, c'est-à-dire qui résiste aux motifs dits d'exclusion tels qu'une exagération ou d'autres manifestations d'un profit secondaire tiré de la maladie au sens de la jurisprudence. Les conclusions des experts doivent se voir reconnaître pleine valeur probante et les griefs formulés par la recourante sont donc écartés.</w:t>
      </w:r>
    </w:p>
    <w:p>
      <w:r>
        <w:rPr>
          <w:b/>
        </w:rPr>
        <w:t>E. 13.4</w:t>
      </w:r>
    </w:p>
    <w:p>
      <w:r>
        <w:t>Reste à examiner, s’agissant d’une assurée inactive, les conclusions et la force probante de l’enquête sur le ménage. ![endif]&gt;![if&gt; En premier lieu, la recourante, rappelant qu’en matière de troubles psychiques, les observations médicales l’emportent sur l’enquête à domicile, soutient que, puisque l’expert ne s’est pas déterminé sur les limitations dans la sphère ménagère, le rapport d’enquête ménagère serait clairement faussé. C’est faire fi du fait que les experts ont clairement écarté tout caractère invalidant aux atteintes psychiques de la recourante. Dès lors, il n’est pas déterminant qu’ils ne se soient pas prononcés précisément sur les empêchements rencontrés dans le ménage. En second lieu, s’agissant de l’enquête, la recourante conteste avant tout le pourcentage d’aide exigible retenu s’agissant de ses proches, plus particulièrement son fils adulte et son mari. Ce taux a été fixé à 26.60%. En ce qui concerne l'incapacité d'accomplir les travaux habituels, l'enquête ménagère effectuée au domicile de l'assuré selon les critères posés par l'Office fédéral des assurances sociales (OFAS)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9C_313/2007 du 8 janvier 2008 consid. 4.1). De plus, le total des activités ménagères doit toujours se monter à 100% (VSI 1997 p. 298). Tel est le cas en l’occurrence, contrairement à l’arrêt auquel se réfère la recourante (9C 183/2008 du 18 mars 2009) et dont elle ne peut dès lors tirer argument en sa faveur). Tous les postes ont été examinés et décrits par l’enquêtrice attentivement s’agissant de l’assurée. Quant à l’aide attendue de ses proches, comme rappelé supra, il existe en matière d’assurances sociales un principe général selon lequel l'assuré qui demande des prestations doit d'abord entreprendre tout ce que l'on peut raisonnablement attendre de lui pour atténuer les conséquences de son invalidité. Cela se traduit, s’agissant d'une personne rencontrant des difficultés à accomplir ses travaux ménagers, par l'obligation d'organiser son travail, mais aussi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Tel n’est pas le cas en l’occurrence étant rappelé que l'aide apportée par les membres de la famille à prendre en considération va plus loin que celle à laquelle on peut s'attendre sans atteinte à la santé et qu’il s'agit en particulier de se demander comment se comporterait une famille raisonnable, si aucune prestation d'assurance ne devait être octroyée. La jurisprudence ne pose pas de grandeur limite au-delà de laquelle l'aide des membres de la famille ne serait plus possible. En l’occurrence, attendre une aide inférieure à un tiers de deux adultes – auxquels se sont qui plus est ajoutées deux adolescentes depuis juin 2015 -, même si ceux-ci exercent un travail à plein temps, ne paraît ni excessif ni disproportionné. Dans de nombreux foyers, tous les membres adultes exercent une activité à temps plein sans pour autant déléguer la tenue du ménage à des tiers. Qui plus est, contrairement à ce que soutient la recourante et comme rappelé supra, la jurisprudence ne répercute pas sur un membre de la famille l'accomplissement de certaines activités ménagères, avec la conséquence qu'il faudrait se demander pour chaque empêchement si cette personne entre effectivement en ligne de compte pour l'exécuter en remplacement. Au contraire, la possibilité pour la personne assurée d'obtenir concrètement de l'aide de la part d'un tiers n'est pas décisive dans le cadre de l'évaluation de son obligation de réduire le dommage. Il résulte des considérations qui précèdent que les griefs de la recourante envers l’enquête ménagère sont infondés. C’est donc à juste titre que l’intimé, se fondant sur les résultats de ladite enquête, lui a nié le droit à toute prestation faute d’empêchement suffisant.</w:t>
      </w:r>
    </w:p>
    <w:p>
      <w:r>
        <w:rPr>
          <w:b/>
        </w:rPr>
        <w:t>E. 14</w:t>
      </w:r>
    </w:p>
    <w:p>
      <w:r>
        <w:t>Au vu de ce qui précède, le recours est rejeté. Au vu du sort du recours, il y a lieu de condamner la recourante au paiement d'un émolument de CHF 500.-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