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A/36/2005 vom 22. März 2005</w:t>
      </w:r>
    </w:p>
    <w:p>
      <w:r>
        <w:t>GE Cour de justice, 2005-03-22, FR</w:t>
      </w:r>
    </w:p>
    <w:p>
      <w:r>
        <w:rPr>
          <w:b/>
        </w:rPr>
        <w:t xml:space="preserve">Quelle: </w:t>
      </w:r>
      <w:r>
        <w:t>https://mcp.opencaselaw.ch/entscheid/ge_gerichte_A_36_2005</w:t>
      </w:r>
    </w:p>
    <w:p>
      <w:r>
        <w:t>FR: GE_GERICHTE A/36/2005 du 22 mars 2005</w:t>
      </w:r>
    </w:p>
    <w:p>
      <w:r>
        <w:t>IT: GE_GERICHTE A/36/2005 del 22 marzo 2005</w:t>
      </w:r>
    </w:p>
    <w:p>
      <w:pPr>
        <w:pStyle w:val="Heading2"/>
      </w:pPr>
      <w:r>
        <w:t>Erwägungen</w:t>
      </w:r>
    </w:p>
    <w:p>
      <w:r>
        <w:rPr>
          <w:b/>
        </w:rPr>
        <w:t>E. 1</w:t>
      </w:r>
    </w:p>
    <w:p>
      <w:r>
        <w: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 et ayants droits, y compris en cas de divorce, ainsi qu’aux prétentions en responsabilité (art. 73 al. 1 LPP). Déposée devant la juridiction compétente, la demande est ainsi recevable.</w:t>
      </w:r>
    </w:p>
    <w:p>
      <w:r>
        <w:rPr>
          <w:b/>
        </w:rPr>
        <w:t>E. 3</w:t>
      </w:r>
    </w:p>
    <w:p>
      <w:r>
        <w:t>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4</w:t>
      </w:r>
    </w:p>
    <w:p>
      <w:r>
        <w:t>En l’espèce un contrat d’assurance Totem a été conclu par la société.</w:t>
      </w:r>
    </w:p>
    <w:p>
      <w:r>
        <w:rPr>
          <w:b/>
        </w:rPr>
        <w:t>E. 5</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 C. JAEGER, Bundesgesetz über Schuldbetreibung und Konkurs, 1999 p. 621). Par autorités administratives fédérales – et par extension autorités administratives cantonales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w:t>
      </w:r>
    </w:p>
    <w:p>
      <w:r>
        <w:rPr>
          <w:b/>
        </w:rPr>
        <w:t>E. 6</w:t>
      </w:r>
    </w:p>
    <w:p>
      <w:r>
        <w:t>En l’espèce, le Tribunal de céans tient pour établi qu’en sa qualité d’employeur occupant des salariés, la défenderesse devait obligatoirement être affiliée à une caisse de prévoyance professionnelle, ce qui du reste n’a jamais été contesté par la défenderesse. Force est de constater que la défenderesse n’a pas souhaité se déterminer sur la demande déposée par LA SUISSE. Il convient dès lors d’admettre que les décomptes de celle-ci sont exacts. En outre, la simple passivité de la débitrice, celle-ci n’ayant réagi ni aux sommations de l’assurance ni à celles du Tribunal de céans ne sauraient empêcher LA SUISSE d’engager et de continuer des procédures de recouvrement afin d’obtenir la reconnaissance de ses droits (ATA du 5 septembre 1995).</w:t>
      </w:r>
    </w:p>
    <w:p>
      <w:r>
        <w:rPr>
          <w:b/>
        </w:rPr>
        <w:t>E. 7</w:t>
      </w:r>
    </w:p>
    <w:p>
      <w:r>
        <w:t>En ce qui concerne les frais de poursuite, ils sont d'office supportés par le débiteur lorsque la poursuite aboutit (JdT 1974 III 32). Pour tous ces motifs, il y a lieu d'admettre la demande et de prononcer la mainlevée définitive de l'opposition aux commandements de payer. 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