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A/3695/2014 vom 22. Dezember 2014</w:t>
      </w:r>
    </w:p>
    <w:p>
      <w:r>
        <w:t>GE Cour de justice, 2014-12-22, FR</w:t>
      </w:r>
    </w:p>
    <w:p>
      <w:r>
        <w:rPr>
          <w:b/>
        </w:rPr>
        <w:t xml:space="preserve">Quelle: </w:t>
      </w:r>
      <w:r>
        <w:t>https://mcp.opencaselaw.ch/entscheid/ge_gerichte_A_3695_2014</w:t>
      </w:r>
    </w:p>
    <w:p>
      <w:r>
        <w:t>FR: GE_GERICHTE A/3695/2014 du 22 décembre 2014</w:t>
      </w:r>
    </w:p>
    <w:p>
      <w:r>
        <w:t>IT: GE_GERICHTE A/3695/2014 del 22 dicembre 2014</w:t>
      </w:r>
    </w:p>
    <w:p>
      <w:pPr>
        <w:pStyle w:val="Heading2"/>
      </w:pPr>
      <w:r>
        <w:t>Volltext</w:t>
      </w:r>
    </w:p>
    <w:p>
      <w:r>
        <w:t>Genève Cour de justice (Cour de droit public) Chambre administrative 22.12.2014 A/3695/2014</w:t>
      </w:r>
    </w:p>
    <w:p>
      <w:r>
        <w:t>A/3695/2014 ATA/1041/2014 du 22.12.2014 ( FPUBL ) , REFUSE RÉPUBLIQUE ET CANTON DE GENÈVE POUVOIR JUDICIAIRE A/3695/2014 - FPUBL " ATA/1041/2014 ![endif]--&gt; COUR DE JUSTICE Chambre administrative Décision du 22 décembre 2014 sur effet suspensif dans la cause M. A______ représenté par Me Marc Lironi, avocat contre TRANSPORTS PUBLICS GENEVOIS représentés par Me Malek Adjadj, avocat Vu le recours interjeté le 2 décembre 2014 auprès de la chambre administrative de la Cour de justice (ci-après : la chambre administrative) par M. A______ contre une communication des Transports publics genevois (ci-après : TPG) du 3 novembre 2014 qu’il considère être une décision, laquelle indique que, lors de sa séance du 27 octobre 2014, le conseil d’administration a approuvé la modification des articles du statut du personnel (ci-après : le SP) relatifs aux avantages du personnel retraité, dont la suppression avait été demandée par le Conseil d’Etat, lesdits avantages consistant en particulier en la gratuité des abonnement UNIRESO et en une participation à l’assurance-maladie de CHF 50.- ; vu les conclusions du recours, tendant préalablement à la restitution de l’effet suspensif, au fond à l’annulation de ladite décision et au déboutement de tout opposant de toutes autres ou contraires conclusions ; vu les observations sur effet suspensif du 18 décembre 2014 des TPG, concluant au retrait de l’effet suspensif, subsidiairement au rejet de la requête de restitution de l’effet suspensif, et, au fond, principalement à l’irrecevabilité du recours, subsidiairement à son rejet ; 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qu’en l’espèce, on ne voit pas quel préjudice pourrait subir le recourant en l’absence d’effet suspensif à son recours, étant donné qu’il est encore chauffeur TPG et qu’il n’a pas allégué qu’il prendrait sa retraite à brève échéance, et ne paraît ainsi prima facie pas concerné par l’acte litigieux ; qu’au demeurant, un accord a été conclu les 3 et 10 décembre 2014 entre des syndicats – parmi lesquels B______ (ci-après : B______), dont le recourant semble être le président – et les TPG, prévoyant notamment la constitution d’une provision par ces derniers permettant de verser aux retraités un montant forfaitaire annuel de CHF 700.- en 2015 et 2016 ; qu’ainsi, la question de savoir si le recourant a un intérêt pour recourir (art. 60 al. 1 let. b LPA) se pose, de sorte que la recevabilité de son recours, qui est remise en cause par les intimés concernant également sa propre qualité pour recourir – vu qu’il n’est pas encore retraité – ainsi que l’existence même d’un acte attaquable, ne paraît en l’état et prima facie à tout le moins pas certaine ; qu’au surplus, l’admission de la requête de restitution de l’effet suspensif, si tant est qu’elle puisse même être prononcée – ce qui peut demeurer indécis –, reviendrait à maintenir pour 2015 les avantages accordés aux retraités des TPG jusqu’en 2014, ce qui anticiperait le jugement définitif et équivaudrait de facto à une condamnation provisoire sur le fond ; qu’enfin, les intimés font état, si le recours avait effet suspensif, de grandes et inextricables difficultés financières, liées en particulier au budget 2015 et au fait que la suppression litigeuse des avantages aurait été imposée par le Conseil d’État ; qu’au vu de ce qui précède, il sera dit que le recours n’a pas d’effet suspensif, le sort des frais de la procédure étant réservé jusqu’à droit jugé au fond. LA CHAMBRE ADMINISTRATIVE dit que le recours n’a pas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Me Malek Adjadj, avocat des intimés.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