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A/3694/2023 vom 6. Februar 2024</w:t>
      </w:r>
    </w:p>
    <w:p>
      <w:r>
        <w:t>GE Cour de justice, 2024-02-06, FR</w:t>
      </w:r>
    </w:p>
    <w:p>
      <w:r>
        <w:rPr>
          <w:b/>
        </w:rPr>
        <w:t xml:space="preserve">Quelle: </w:t>
      </w:r>
      <w:r>
        <w:t>https://mcp.opencaselaw.ch/entscheid/ge_gerichte_A_3694_2023</w:t>
      </w:r>
    </w:p>
    <w:p>
      <w:r>
        <w:t>FR: GE_GERICHTE A/3694/2023 du 6 février 2024</w:t>
      </w:r>
    </w:p>
    <w:p>
      <w:r>
        <w:t>IT: GE_GERICHTE A/3694/2023 del 6 febbraio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w:t>
      </w:r>
    </w:p>
    <w:p>
      <w:r>
        <w:rPr>
          <w:b/>
        </w:rPr>
        <w:t>E. 2</w:t>
      </w:r>
    </w:p>
    <w:p>
      <w:r>
        <w:t>Sa compétence pour juger du cas d’espèce est ainsi établie.![endif]&gt;![if&gt;</w:t>
      </w:r>
    </w:p>
    <w:p>
      <w:r>
        <w:rPr>
          <w:b/>
        </w:rPr>
        <w:t>E. 3</w:t>
      </w:r>
    </w:p>
    <w:p>
      <w:r>
        <w:t>Il s'agit en l'occurrence d'examiner la recevabilité du recours.![endif]&gt;![if&gt;</w:t>
      </w:r>
    </w:p>
    <w:p>
      <w:r>
        <w:rPr>
          <w:b/>
        </w:rPr>
        <w:t>E. 4</w:t>
      </w:r>
    </w:p>
    <w:p>
      <w:r>
        <w:t>L’art. 61 LPGA prévoit que la procédure devant la chambre des assurances sociales est réglée par le droit cantonal, sous réserve de ce que celui-ci respecte les exigences minimales requises par la LPGA.![endif]&gt;![if&gt;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commencent à courir le lendemain de leur communication ou de l'événement qui les déclenche.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5</w:t>
      </w:r>
    </w:p>
    <w:p>
      <w:r>
        <w:t>En l'occurrence, la décision querellée a été rendue le 1 er février 2023 et adressée par pli recommandé à la recourante. ![endif]&gt;![if&gt; Interjeté le 8 novembre 2023, le recours est tardif comme l’indique la recourante.</w:t>
      </w:r>
    </w:p>
    <w:p>
      <w:r>
        <w:rPr>
          <w:b/>
        </w:rPr>
        <w:t>E. 6</w:t>
      </w:r>
    </w:p>
    <w:p>
      <w:r>
        <w:t>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cessé.![endif]&gt;![if&gt; Il s’agit là de dispositions impératives auxquelles il ne peut être dérogé (Jurisprudence des autorités administratives de la Confédération [JAAC] 60/1996, consid. 5.4, p. 367 ; ATF 119 II 87 consid. 2a ;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 5A_896/2012 du 10 janvier 2013 consid. 3.2 ; 5A_30/2010 du 23 mars 2010 consid. 4.1 et les références citées).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Dans un arrêt 8C_538/2017 du 30 novembre 2017, s’agissant d’une personne ayant fait valoir que depuis un accident, elle n'arrivait plus à gérer son quotidien, qu’elle avait du mal à gérer seule ses affaires, qu’elle souffrait de multiples troubles depuis et que les personnes qui l'assistaient habituellement n'avaient pas pu lui prêter leur concours pour contester une décision, car elles étaient absentes, le Tribunal fédéral a considéré que les rapports médicaux présents au dossier – dont aucun ne fait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w:t>
      </w:r>
    </w:p>
    <w:p>
      <w:r>
        <w:rPr>
          <w:b/>
        </w:rPr>
        <w:t>E. 7</w:t>
      </w:r>
    </w:p>
    <w:p>
      <w:r>
        <w:t>En l'espèce, les explications de la recourante permettent de comprendre pourquoi elle a privilégié sa famille aux affaires administratives, mais ne peuvent cependant pas justifier la restitution du délai de recours, au vu de la jurisprudence stricte en la matière. En effet, la recourante n’était pas incapable de discernement, preuve en est qu’elle travaillait et s’occupait alors de ses proches, ni incapable de saisir la portée de la décision et de faire recours, ce qu’elle ne soutient d’ailleurs pas. ![endif]&gt;![if&gt; L’on ne peut pas tenir pour établi que la recourante était totalement empêchée d’agir dans le délai de trente jours prévu par la loi. Le recours ne peut dès lors qu’être déclaré irrecevable pour cause de tardiveté.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