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A/3688/2022 vom 18. Oktober 2023</w:t>
      </w:r>
    </w:p>
    <w:p>
      <w:r>
        <w:t>GE Cour de justice, 2023-10-18, FR</w:t>
      </w:r>
    </w:p>
    <w:p>
      <w:r>
        <w:rPr>
          <w:b/>
        </w:rPr>
        <w:t xml:space="preserve">Quelle: </w:t>
      </w:r>
      <w:r>
        <w:t>https://mcp.opencaselaw.ch/entscheid/ge_gerichte_A_3688_2022</w:t>
      </w:r>
    </w:p>
    <w:p>
      <w:r>
        <w:t>FR: GE_GERICHTE A/3688/2022 du 18 octobre 2023</w:t>
      </w:r>
    </w:p>
    <w:p>
      <w:r>
        <w:t>IT: GE_GERICHTE A/3688/2022 del 18 ottobre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Interjeté en temps utile, le recours est recevable (art. 60 LPGA).![endif]&gt;![if&gt;</w:t>
      </w:r>
    </w:p>
    <w:p>
      <w:r>
        <w:rPr>
          <w:b/>
        </w:rPr>
        <w:t>E. 3</w:t>
      </w:r>
    </w:p>
    <w:p>
      <w:r>
        <w:t>Le litige porte sur le droit du recourant à une demi-rente d’invalidité dès le 1 er juin 2018.![endif]&gt;![if&gt;</w:t>
      </w:r>
    </w:p>
    <w:p>
      <w:r>
        <w:rPr>
          <w:b/>
        </w:rPr>
        <w:t>E. 4</w:t>
      </w:r>
    </w:p>
    <w:p>
      <w:r>
        <w:t>Le 1 er janvier 2022, les modifications de la LAI du 19 juin 2020 (développement continu de l’AI ; RO 2021 705) ainsi que celles du 3 novembre 2021 du règlement sur l’assurance-invalidité du 17 janvier 1961 (RAI – RS 831.201 ; RO 2021 706) sont entrées en vigueur.![endif]&gt;![if&gt;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 er janvier 2022, mais le litige porte sur le droit à une rente demi-rente d’invalidité au-delà du 31 mai 2018, de sorte que les dispositions légales applicables seront citées dans leur teneur en vigueur jusqu’au 31 décembre 2021.</w:t>
      </w:r>
    </w:p>
    <w:p>
      <w:r>
        <w:rPr>
          <w:b/>
        </w:rPr>
        <w:t>E. 5</w:t>
      </w:r>
    </w:p>
    <w:p>
      <w:r>
        <w:t>![endif]&gt;![if&gt;</w:t>
      </w:r>
    </w:p>
    <w:p>
      <w:r>
        <w:rPr>
          <w:b/>
        </w:rPr>
        <w:t>E. 5.1</w:t>
      </w:r>
    </w:p>
    <w:p>
      <w:r>
        <w:t>![endif]&gt;![if&gt;</w:t>
      </w:r>
    </w:p>
    <w:p>
      <w:r>
        <w:rPr>
          <w:b/>
        </w:rPr>
        <w:t>E. 5.1.1</w:t>
      </w:r>
    </w:p>
    <w:p>
      <w:r>
        <w:t>Dans un premier grief formel, le recourant se plaint d’une violation de son droit d’être entendu au motif que l’intimé ne lui avait accordé qu’une prolongation au 30 septembre 2022 pour compléter ses observations au projet de décision, ce qui était insuffisant pour obtenir les rapports médicaux. Son conseil n’avait reçu la copie du dossier que le 15 septembre 2022 et un délai de quinze jours pour prendre connaissance du dossier volumineux et solliciter des rapports médicaux complémentaires étaient irréaliste. L’intimé l’avait ainsi privé de la possibilité de se déterminer utilement. ![endif]&gt;![if&gt;</w:t>
      </w:r>
    </w:p>
    <w:p>
      <w:r>
        <w:rPr>
          <w:b/>
        </w:rPr>
        <w:t>E. 5.1.2</w:t>
      </w:r>
    </w:p>
    <w:p>
      <w:r>
        <w:t>L’intimé a contesté avoir violé le droit d’être entendu du recourant. Celui-ci avait demandé plusieurs prolongations de délai et il avait eu la possibilité de faire valoir ses objections entre la notification du projet de décision du 13 juin 2022 et le 30 septembre suivant, ce qui était un délai suffisant.![endif]&gt;![if&gt;</w:t>
      </w:r>
    </w:p>
    <w:p>
      <w:r>
        <w:rPr>
          <w:b/>
        </w:rPr>
        <w:t>E. 5.2</w:t>
      </w:r>
    </w:p>
    <w:p>
      <w:r>
        <w:t>![endif]&gt;![if&gt;</w:t>
      </w:r>
    </w:p>
    <w:p>
      <w:r>
        <w:rPr>
          <w:b/>
        </w:rPr>
        <w:t>E. 5.2.1</w:t>
      </w:r>
    </w:p>
    <w:p>
      <w:r>
        <w:t>Tel que garanti par l'art. 29 al. 2 Cst., le droit d'être entendu comprend, notamment, le droit pour l'intéressé de prendre connaissance du dossier (ATF 126 I 7 consid. 2b p. 10; arrêt du Tribunal fédéral 2C_782/2015 du 19 janvier 2016 consid. 2.1),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consid. 5.1 p. 293; 132 II 485 consid. 3.2 p. 494; 127 I 54 consid. 2b p. 56). ![endif]&gt;![if&gt;</w:t>
      </w:r>
    </w:p>
    <w:p>
      <w:r>
        <w:rPr>
          <w:b/>
        </w:rPr>
        <w:t>E. 5.2.2</w:t>
      </w:r>
    </w:p>
    <w:p>
      <w:r>
        <w:t>En vertu de l’art. 57a LAI, l’office AI est tenu de communiquer à l’assuré un préavis au sujet de la décision finale qu’il entend prendre. L’assuré a le droit d’être entendu (al. 1). Les parties peuvent faire part de leurs observations concernant le préavis dans un délai de 30 jours (al. 2).![endif]&gt;![if&gt; Selon l'art. 73ter du règlement du 17 janvier 1961 sur l’assurance-invalidité du 17 janvier 1961 (RAI - RS 831.201), les parties peuvent faire part à l'office AI de leurs observations sur le préavis dans un délai de 30 jours (al. 1). L'assuré peut communiquer ses observations à l'office AI par écrit ou oralement, lors d'un entretien personnel. Si l'audition a lieu oralement, l'office AI établit un procès-verbal sommaire qui est signé par l'assuré (al. 2). Selon la jurisprudence et la doctrine, le délai de l'art. 73ter LAI est un délai d'ordre qui peut être prolongé pour de justes motifs (ATF 143 V 71 consid. 4.3). Prolongé ou non, il doit être respecté par l'office AI. Ce dernier commet ainsi une violation du droit de l'assuré à être entendu, notamment lorsqu'il statue sans tenir compte d'une demande de prolongation du délai présentée par l'assuré dans le délai de trente jours, par exemple, afin qu'il puisse se faire conseiller par le représentant qu'il a désigné entre-temps (arrêts du Tribunal fédéral des assurances I 658/04 du 27 janvier 2006 consid. 5 et I 459/02 du 29 octobre 2002 consid. 4 ; Michel VALTÉRIO, Commentaire de la loi fédérale sur l'assurance-invalidité, 2018, n°8 ad art. 57a LAI).</w:t>
      </w:r>
    </w:p>
    <w:p>
      <w:r>
        <w:rPr>
          <w:b/>
        </w:rPr>
        <w:t>E. 5.3</w:t>
      </w:r>
    </w:p>
    <w:p>
      <w:r>
        <w:t>En l’espèce, il ressort des faits de la cause que deux prolongations du délai d’audition ont été acceptées par l’intimé, la première au 1 er septembre 2022, selon une communication du 15 juillet 2022, puis la seconde au 30 septembre 2022, par communication du 21 juillet 2022. Le recourant a ainsi disposé d’un délai total de plus de trois mois après le projet de décision du 13 juin 2022 pour faire ses observations ainsi que d’un délai d’au minimum trois semaines depuis qu’il avait pris contact avec son conseil. Il en résulte que le droit d’être entendu du recourant n’a pas été violé, étant rappelé que selon l’art. 57a al. 2 LAI, il est en principe de trente jours. Il faut également relever que la prolongation de délai rédigée le 30 septembre 2022 était motivée par le fait que le mandataire du recourant venait de recevoir le dossier AI. Or, le dossier avait déjà été transmis le 17 août 2022 au recourant, qui aurait donc pu le transmettre bien avant à son conseil.![endif]&gt;![if&gt;</w:t>
      </w:r>
    </w:p>
    <w:p>
      <w:r>
        <w:rPr>
          <w:b/>
        </w:rPr>
        <w:t>E. 6</w:t>
      </w:r>
    </w:p>
    <w:p>
      <w:r>
        <w:t>![endif]&gt;![if&gt;</w:t>
      </w:r>
    </w:p>
    <w:p>
      <w:r>
        <w:rPr>
          <w:b/>
        </w:rPr>
        <w:t>E. 6.1</w:t>
      </w:r>
    </w:p>
    <w:p>
      <w:r>
        <w:t>![endif]&gt;![if&gt;</w:t>
      </w:r>
    </w:p>
    <w:p>
      <w:r>
        <w:rPr>
          <w:b/>
        </w:rPr>
        <w:t>E. 6.1.1</w:t>
      </w:r>
    </w:p>
    <w:p>
      <w:r>
        <w:t>Dans un second grief, le recourant a fait valoir que l’intimé avait retenu une pleine capacité de travail dans son activité habituelle dès le mois de février 2018 en se référant à l’avis du service de réadaptation du 17 décembre 2021, selon lequel l’activité adaptée se confondait avec l’activité habituelle, ce qui entrait en contradiction avec l’avis du SMR du 4 novembre 2018, qui retenait que la capacité de travail était limitée dans l’activité habituelle. L’intimé aurait donc dû procéder à la comparaison des revenus avec et sans invalidité. À ce jour, il percevait un salaire annuel de CHF 49'140.-. Selon son employeur, sans invalidité son revenu serait en 2022 de CHF 110'000.-. Il en résultait un degré d’invalidité de CHF 55.33%, ce qui lui ouvrait le droit à une demi-rente au-delà du février 2018.![endif]&gt;![if&gt;</w:t>
      </w:r>
    </w:p>
    <w:p>
      <w:r>
        <w:rPr>
          <w:b/>
        </w:rPr>
        <w:t>E. 6.1.2</w:t>
      </w:r>
    </w:p>
    <w:p>
      <w:r>
        <w:t>L’intimé a répondu que compte tenu des explications du service de réadaptation, il se justifiait de considérer que l’activité habituelle dans la profession d’architecte du recourant respectait ses limitations fonctionnelles, de sorte que sa capacité de travail exigible était de 100% dans l’activité habituelle.![endif]&gt;![if&gt;</w:t>
      </w:r>
    </w:p>
    <w:p>
      <w:r>
        <w:rPr>
          <w:b/>
        </w:rPr>
        <w:t>E. 6.2</w:t>
      </w:r>
    </w:p>
    <w:p>
      <w:r>
        <w:t>![endif]&gt;![if&gt;</w:t>
      </w:r>
    </w:p>
    <w:p>
      <w:r>
        <w:rPr>
          <w:b/>
        </w:rPr>
        <w:t>E. 6.2.1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6.2.2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6.2.3</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w:t>
      </w:r>
    </w:p>
    <w:p>
      <w:r>
        <w:rPr>
          <w:b/>
        </w:rPr>
        <w:t>E. 6.2.4</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![endif]&gt;![if&gt;</w:t>
      </w:r>
    </w:p>
    <w:p>
      <w:r>
        <w:rPr>
          <w:b/>
        </w:rPr>
        <w:t>E. 6.2.5</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![endif]&gt;![if&gt;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Le salaire fondé sur les ESS doit encore être adapté à l’horaire de travail usuel de la branche, et indexé à l’année déterminante en tenant compte des valeurs spécifiques au sexe (ATF 129 V 408).</w:t>
      </w:r>
    </w:p>
    <w:p>
      <w:r>
        <w:rPr>
          <w:b/>
        </w:rPr>
        <w:t>E. 6.3</w:t>
      </w:r>
    </w:p>
    <w:p>
      <w:r>
        <w:t>![endif]&gt;![if&gt;</w:t>
      </w:r>
    </w:p>
    <w:p>
      <w:r>
        <w:rPr>
          <w:b/>
        </w:rPr>
        <w:t>E. 6.3.1</w:t>
      </w:r>
    </w:p>
    <w:p>
      <w:r>
        <w:t>En l’espèce, les conclusions du rapport final MOP du 17 décembre 2021 ne sont pas fondées sur un stage d’observation professionnelle, mais sur une appréciation théorique de l’activité habituelle du recourant, retenant qu’il s’agissait d’une activité sédentaire, sans port de charges avec la possibilité d’alterner les positions à sa guise. Cette appréciation s’écarte de l’avis médical du SMR du 4 novembre 2021. Or, en cas d'appréciation divergente entre les organes d'observation professionnelle et les données médicales, l'avis dûment motivé d'un médecin prime pour déterminer la capacité de travail raisonnablement exigible de l'assuré. Il en résulte que l’intimé aurait dû soumettre les conclusions de sa division de réadaptation professionnelle à un médecin avant de retenir que le recourant était capable de travailler à 100% dans son activité habituelle. ![endif]&gt;![if&gt;</w:t>
      </w:r>
    </w:p>
    <w:p>
      <w:r>
        <w:rPr>
          <w:b/>
        </w:rPr>
        <w:t>E. 6.3.2</w:t>
      </w:r>
    </w:p>
    <w:p>
      <w:r>
        <w:t>Cela étant, il sera renoncé à une instruction complémentaire, car même en admettant par hypothèse que l’activité habituelle ne serait pas exigible à 100% du recourant et que seule une activité adaptée le serait à 100%, celui-ci n’aurait pas droit à une rente d’invalidité dès le 1 er juin 2018.![endif]&gt;![if&gt; En effet, pour fixer le taux d’invalidité, il faut comparer les revenus avec et sans invalidité. En l’occurrence, dans la mesure où le recourant persiste à travailler dans une activité qui ne lui permet pas de mettre pleinement en valeur sa capacité de travail résiduelle, contrairement à ce qui serait raisonnablement exigible de sa part, le revenu d'invalide doit être évalué sur la base des données statistiques, telles qu'elles résultent de l’Enquête suisse sur la structure des salaires (ESS), en se fondant sur les salaires mensuels indiqués dans la table ESS TA1_tirage_skill_level, à la ligne « total secteur privé » sur la médiane ou valeur centrale. Son revenu avec invalidité doit ainsi être fixé sur l’ESS 2018, en vigueur depuis le 21 avril 2020, soit un salaire mensuel de CHF 5'417.-, correspondant à un salaire annuel de CHF 65'004.-, adapté à la durée de travail hebdomadaire moyenne usuelle dans les entreprises de 41.7 heures (x 41.7 / 40), soit CHF 67'766.67. Son revenu sans invalidité ne doit pas être fixé sur la base du revenu que le recourant touchait concrètement en 2022, mais en tenant compte de celui qu’il aurait touché en 2018, à plein temps, sans atteinte à la santé. Il ressort du dossier qu’en janvier 2017, il touchait un salaire brut mensuel de CHF 2'820.- dans son activité habituelle exercée à 60%, ce qui équivaut à un salaire annuel de CHF 36'660.-. Sans invalidité, il aurait touché le même salaire à 100%, soit CHF 61'100.-, et CHF 61'398.- après indexation à 2018. Le revenu avec invalidité est ainsi plus élevé que le revenu sans invalidité, de sorte que le recourant n’a pas droit à une rente d’invalidité dès le 1 er juin 2018. Il sera également relevé que même en tenant compte du revenu sans invalidité dont se prévaut le recourant, ce droit ne serait pas ouvert (CHF 110'000.- – CHF 67'766.67.- x 100 / CHF 110'000.- = 38.39 % de taux d’invalidité).</w:t>
      </w:r>
    </w:p>
    <w:p>
      <w:r>
        <w:rPr>
          <w:b/>
        </w:rPr>
        <w:t>E. 6.3.3</w:t>
      </w:r>
    </w:p>
    <w:p>
      <w:r>
        <w:t>Le certificat médical produit le 20 septembre 2023 par le recourant ne remet pas en cause la conclusion selon laquelle il était au moins capable de travailler à 100% dans une activité adaptée dès février 2018 jusqu’à la décision querellée du 26 octobre 2022, dès lors qu’il concerne l’état psychique du recourant sur une période postérieure.![endif]&gt;![if&gt;</w:t>
      </w:r>
    </w:p>
    <w:p>
      <w:r>
        <w:rPr>
          <w:b/>
        </w:rPr>
        <w:t>E. 7</w:t>
      </w:r>
    </w:p>
    <w:p>
      <w:r>
        <w:t>Au vu de ce qui précède, le recours sera rejeté et un émolument de CHF 200.- sera mis à la charge du recourant (art. 69 al.1 bis LAI).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