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A/3687/2014 vom 16. Februar 2015</w:t>
      </w:r>
    </w:p>
    <w:p>
      <w:r>
        <w:t>GE Cour de justice, 2015-02-16, FR</w:t>
      </w:r>
    </w:p>
    <w:p>
      <w:r>
        <w:rPr>
          <w:b/>
        </w:rPr>
        <w:t xml:space="preserve">Quelle: </w:t>
      </w:r>
      <w:r>
        <w:t>https://mcp.opencaselaw.ch/entscheid/ge_gerichte_A_3687_2014</w:t>
      </w:r>
    </w:p>
    <w:p>
      <w:r>
        <w:t>FR: GE_GERICHTE A/3687/2014 du 16 février 2015</w:t>
      </w:r>
    </w:p>
    <w:p>
      <w:r>
        <w:t>IT: GE_GERICHTE A/3687/2014 del 16 febbraio 2015</w:t>
      </w:r>
    </w:p>
    <w:p>
      <w:pPr>
        <w:pStyle w:val="Heading2"/>
      </w:pPr>
      <w:r>
        <w:t>Erwägungen</w:t>
      </w:r>
    </w:p>
    <w:p>
      <w:r>
        <w:rPr>
          <w:b/>
        </w:rPr>
        <w:t>E. 2</w:t>
      </w:r>
    </w:p>
    <w:p>
      <w:r>
        <w:t>Les décisions sur mesures provisionnelles, y compris sur effet suspensif, sont prises par le président ou le vice-président ou, en cas d’urgence, par un autre juge de la chambre constitutionnelle (art. 21 al. 2 et 76 LPA).</w:t>
      </w:r>
    </w:p>
    <w:p>
      <w:r>
        <w:rPr>
          <w:b/>
        </w:rPr>
        <w:t>E. 3</w:t>
      </w:r>
    </w:p>
    <w:p>
      <w:r>
        <w:t>À teneur de l'art. 66 de la loi sur la procédure administrative du 12 septembre 1985 (LPA - E 5 10), en cas de recours contre une loi constitutionnelle, une loi ou un règlement du Conseil d’État, le recours n’a pas effet suspensif (al. 2) ; toutefois, lorsqu'aucun intérêt public ou privé prépondérant ne s’y oppose, la juridiction de recours peut, sur la demande de la partie dont les intérêts sont gravement menacés, restituer l’effet suspensif (al. 3).</w:t>
      </w:r>
    </w:p>
    <w:p>
      <w:r>
        <w:rPr>
          <w:b/>
        </w:rPr>
        <w:t>E. 4</w:t>
      </w:r>
    </w:p>
    <w:p>
      <w:r>
        <w:t>Selon l'exposé des motifs du PL 11’311 portant mise en œuvre de la Cour constitutionnelle, en matière de recours abstrait, il n'est pas concevable que le dépôt du recours bloque le processus législatif ou réglementaire ; il a dès lors été proposé de supprimer l'effet suspensif automatique, la chambre constitutionnelle conservant toute latitude pour restituer, totalement ou partiellement, l'effet suspensif lorsque les conditions légales de cette restitution sont données (Rapport PL 11'311-A, rapport de la majorité, p. 15, publié sur http://www.ge.ch/grandconseil/data/texte/PL11311A.pdf).</w:t>
      </w:r>
    </w:p>
    <w:p>
      <w:r>
        <w:rPr>
          <w:b/>
        </w:rPr>
        <w:t>E. 5</w:t>
      </w:r>
    </w:p>
    <w:p>
      <w:r>
        <w:t>a. Lorsque l'effet suspensif a été retiré ou n'est pas prévu par la loi, sa restitution ou son octroi suppose que l’exécution de la décision ou de l’acte normatif entrepris mette gravement en péril les intérêts des parties sollicitant ces mesures, d’une part, et que les raisons, relevant de l’intérêt public ou de l’intérêt privé, de ne pas différer l’exécution de la décision ou de l’acte normatif entrepris ne l’emportent pas sur ces intérêts opposés, d’autre part. L’autorité de recours dispose pour en juger d'un large pouvoir d'appréciation, qui varie selon la nature de l'affaire. b. Selon la jurisprudence fédérale, la restitution ou l’octroi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p. 191 ; arrêt du Tribunal fédéral 1C_435/2008 du 6 février 2009 consid. 2.3 et les arrêts cités).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2.2p. 155 ; 127 II 132 consid. 3 p. 137 = RDAF 2002 I 405 ). Par ailleurs, en matière de contrôle abstrait des normes, l'effet suspensif n'est en principe pas accordé, sous réserve que les chances de succès du recours apparaissent à ce point manifestes qu'il se justifie de déroger au principe (Claude-Emmanuel DUBEY, La procédure de recours devant le Tribunal fédéral, in François BELLANGER/Thierry TANQUEREL [éd.], Le contentieux administratif, 2013, 137-178, p. 167).</w:t>
      </w:r>
    </w:p>
    <w:p>
      <w:r>
        <w:rPr>
          <w:b/>
        </w:rPr>
        <w:t>E. 6</w:t>
      </w:r>
    </w:p>
    <w:p>
      <w:r>
        <w:t>En l'espèce, la L 11'301 ratifie la convention de subventionnement entre l’État de Genève et la fondation (sous réserve des montants prévus). L’aide financière accordée a pour but de permettre à F______ de réaliser les activités qui sont définies dans cette convention, notamment d’encourager et renforcer la création cinématographique et audiovisuelle par un soutien direct à la production et à la réalisation de films et à leur valorisation auprès des publics. Les recourants estiment que la fondation alloue ses subventions, donc l’aide publique, à un cercle très restreint de producteurs indépendants sur la base d’évaluations qualitatives effectuées par des experts de son choix qui, majoritairement, ne sont pas neutres du fait de leurs liens avec les bénéficiaires, et alors que, de surcroît, les créateurs d’œuvres cinématographiques et audiovisuelles sont tributaires de l’aide financière accordée par F______. Il manque selon eux des mécanismes de protection qui permettraient à ces derniers de récuser des experts se trouvant en situation de conflit d’intérêts et de recourir contre les mesures de subventionnement prises par la fondation.</w:t>
      </w:r>
    </w:p>
    <w:p>
      <w:r>
        <w:rPr>
          <w:b/>
        </w:rPr>
        <w:t>E. 7</w:t>
      </w:r>
    </w:p>
    <w:p>
      <w:r>
        <w:t>a. Les recourants n’avancent pas de faits démontrant que leurs intérêts seraient gravement menacés, actuellement ou à court terme, par l’application de la loi attaquée. Ils citent certes une demande de soutien financier déposée auprès de l’office fédéral de la culture, le 26 avril 2013, pour la réalisation du film de fiction « G______ », mais ce cas relève d’un subventionnement fédéral, pour lequel une procédure est en cours devant le Tribunal administratif fédéral. Or, il ne suffit pas d’avoir le cas échéant un intérêt virtuel à attaquer un acte normatif pour remplir cette première condition de restitution ou d’octroi de l’effet suspensif qu’est une grave mise en péril des intérêts des recourants. Les recourants apparaissent essentiellement invoquer un intérêt public, qu’ils n’ont a priori pas vocation de défendre. b. Quoi qu’il en soit de leurs intérêts, il appert qu’il existe un intérêt public important à ce que le système de financement de l’activité cinématographique sur le plan romand ne se trouve pas entravé par un relatif assèchement financier qui résulterait du fait qu’en cas d’effet suspensif accordé au recours, l’État de Genève ne pourrait pas verser ses subventions annuelles à la fondation. Cela serait d’autant plus problématique que la loi attaquée couvre partiellement une période rétroactive. Les recourants ne concluent d’ailleurs pas à l’annulation de la loi attaquée, mais à son complètement par des dispositions portant sur les deux sujets de la récusation des experts (voire d’autres intervenants) de F______ et la possibilité de contester les « décisions » de cette fondation de droit privé. Le subventionnement de l’État de Genève prévu par la L 11'301 s’inscrit dans le cadre d’un système mis sur pied sur le plan romand. Un blocage du subventionnement genevois aurait donc un impact au-delà des frontières cantonales et placerait les autorités genevoises dans la situation de ne pouvoir assumer leurs engagements à l’égard des autres collectivités publiques impliquées dans F______. c. Les demandeurs de subventions n’apparaissent pas dénués de tout moyen de faire examiner les griefs qu’ils soulèvent à l’encontre de F______. Les recourants indiquent eux-mêmes que l’autorité fédérale de surveillance des fondations est en train de mener une enquête notamment sur ces mêmes griefs, et qu’elle rendra prochainement une décision à ce propos. d. Au demeurant, d’après un premier examen du recours, les chances de succès de celui-ci n’apparaissent pas prima facie à ce point manifestes qu’il se justifierait de déroger à la pratique de refuser l’effet suspensif dans le cadre d’un contrôle abstrait des normes. e. La demande d’octroi de l’effet suspensif sera donc rejetée.</w:t>
      </w:r>
    </w:p>
    <w:p>
      <w:r>
        <w:rPr>
          <w:b/>
        </w:rPr>
        <w:t>E. 8</w:t>
      </w:r>
    </w:p>
    <w:p>
      <w:r>
        <w:t>Le sort des frais et indemnités sera réservé jusqu'à droit jugé sur le recours. Vu le recours interjeté le 1 er décembre 2014 complété le 19 janvier 2015 par MM. A______ et B______ et l’entreprise individuelle C______ contre la loi accordant une aide financière à la Fondation E______ pour les années 2013 à 2016 du 9 octobre 2014 ; vu l’art. 66 al. 2 et 3 de la loi sur la procédure administrative du 12 septembre 1985 ;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Messieurs A______ et B______, à C______, ainsi qu’au Grand Conseil et, pour information, au Conseil d’État. Le président : Raphaël MARTIN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