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A/3685/2022 vom 7. November 2023</w:t>
      </w:r>
    </w:p>
    <w:p>
      <w:r>
        <w:t>GE Cour de justice, 2023-11-07, FR</w:t>
      </w:r>
    </w:p>
    <w:p>
      <w:r>
        <w:rPr>
          <w:b/>
        </w:rPr>
        <w:t xml:space="preserve">Quelle: </w:t>
      </w:r>
      <w:r>
        <w:t>https://mcp.opencaselaw.ch/entscheid/ge_gerichte_A_3685_2022</w:t>
      </w:r>
    </w:p>
    <w:p>
      <w:r>
        <w:t>FR: GE_GERICHTE A/3685/2022 du 7 novembre 2023</w:t>
      </w:r>
    </w:p>
    <w:p>
      <w:r>
        <w:t>IT: GE_GERICHTE A/3685/2022 del 7 novembre 2023</w:t>
      </w:r>
    </w:p>
    <w:p>
      <w:pPr>
        <w:pStyle w:val="Heading2"/>
      </w:pPr>
      <w:r>
        <w:t>Erwägungen</w:t>
      </w:r>
    </w:p>
    <w:p>
      <w:r>
        <w:rPr>
          <w:b/>
        </w:rPr>
        <w:t>E. 2</w:t>
      </w:r>
    </w:p>
    <w:p>
      <w:r>
        <w:t>Le recours porte sur le bien-fondé de la décision sur opposition du 6 octobre 2022, par laquelle l’intimé a confirmé la demande faite au recourant de restituer la somme de 73'413.05, correspondant aux prestations versées du 1 er octobre 2018 au 28 février 2021.![endif]&gt;![if&gt;</w:t>
      </w:r>
    </w:p>
    <w:p>
      <w:r>
        <w:rPr>
          <w:b/>
        </w:rPr>
        <w:t>E. 3</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 - GE - A 2 00) contient une garantie similaire.![endif]&gt;![if&gt; En droit genevois, la LIASI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w:t>
      </w:r>
    </w:p>
    <w:p>
      <w:r>
        <w:rPr>
          <w:b/>
        </w:rPr>
        <w:t>E. 3.1</w:t>
      </w:r>
    </w:p>
    <w:p>
      <w:r>
        <w:t>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(al. 2).![endif]&gt;![if&gt; 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 Conformément à l’art. 28 LIASI, le droit aux prestations d'aide financière naît dès que les conditions de la loi sont remplies, mais au plus tôt le premier jour du mois du dépôt de la demande (al. 1). Il s’éteint à la fin du mois où l’une des conditions dont il dépend n’est plus remplie (al. 2).</w:t>
      </w:r>
    </w:p>
    <w:p>
      <w:r>
        <w:rPr>
          <w:b/>
        </w:rPr>
        <w:t>E. 3.2</w:t>
      </w:r>
    </w:p>
    <w:p>
      <w:r>
        <w:t>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 ATA/1093/2022 du 1 er novembre 2022 consid 3b ; ATA/1001/2022 du 4 octobre 2022 /consid. 3d).![endif]&gt;![if&gt; Selon l’art. 23 du Code civil suisse du 10 décembre 1907 (CC - RS 210), le domicile de toute personne est au lieu où elle réside avec l’intention de s’y établir ; le séjour dans une institution de formation ou le placement dans un établissement d’éducation, un home, un hôpital ou une maison de détention ne constitue en soi pas le domicile (al. 1). Nul ne peut avoir en même temps plusieurs domiciles (al. 2). L’art. 24 CC prévoit que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la personne intéressée (ATF 141 V 530 consid. 5.2 ; 136 II 405 consid. 4.3). Ce n'est pas la durée du séjour à cet endroit qui est décisive, mais bien la perspective d'une telle durée (arrêts du Tribunal fédéral 5A.398/2007 du 28 avril 2008 consid. 3.2 et 5A.34/2004 du 22 avril 2005 consid. 3.2). Du point de vue subjectif, ce n'est pas la volonté interne de la personne concernée qui importe, mais les circonstances reconnaissables pour des tiers, qui permettent de déduire qu'elle a cette volonté (ATF 137 II 122 consid. 3.6, in JdT 2011 IV 372 ; ATF 133 V 309 consid. 3.1 ; arrêt du Tribunal fédéral 5A.398/2007 précité consid. 3.2). Pour déterminer si une personne réside dans un lieu déterminé avec l'intention de s'y établir durablement (élément subjectif du domicile), la jurisprudence ne se fonde pas sur la volonté interne de l'intéressé ; seules sont décisives les circonstances objectives, reconnaissables pour les tiers, permettant de déduire une telle intention (ATF 127 V 237 consid. 1 ; 120 III 7 consid. 2b ; 119 II 64 consid. 2b/bb).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 arrêt du Tribunal fédéral 5C.163/2005 du 25 août 2005 consid. 4.1 et les références citées). Même un séjour d'emblée temporaire peut constituer un domicile, lorsqu'il est d'une certaine durée et que le centre des intérêts de la personne y est transféré (Daniel STÄHELIN, in Basler Kommentar zum ZGB, 6 ème éd. 2018, n. 7 ad art. 23 CC et les références). L’intention de quitter un lieu plus tard n’empêche pas d’y constituer un domicile (ATF 127 V 237 consid. 2c). En l'absence d'un domicile volontaire et légal, l'art. 24 CC établit des règles subsidiaires qui permettent de définir un domicile fictif (arrêt du Tribunal fédéral 2C_478/2008 du 23 septembre 2008 consid. 3.4).</w:t>
      </w:r>
    </w:p>
    <w:p>
      <w:r>
        <w:rPr>
          <w:b/>
        </w:rPr>
        <w:t>E. 3.3</w:t>
      </w:r>
    </w:p>
    <w:p>
      <w:r>
        <w:t>Aux termes de l'art. 11 al. 4 let. d LIASI, les personnes exerçant une activité lucrative indépendante n'ont, en principe, pas droit à une aide financière ordinaire. Celle-ci ne peut être accordée que pour une période de trois mois et, en cas d'incapacité de travail, pendant une durée maximale de six mois (art. 16 du règlement d'exécution de la loi sur l'insertion et l'aide sociale individuelle du 25 juillet 2007 - RIASI - J 4 04.01).![endif]&gt;![if&gt; Le fait qu'une société soit inactive ou ne procure aucun bénéfice à son associé gérant président avec signature individuelle est sans incidence sur le statut d'indépendant dudit associé ( ATA/739/2020 du 22 septembre 2020 consid. 4d).</w:t>
      </w:r>
    </w:p>
    <w:p>
      <w:r>
        <w:rPr>
          <w:b/>
        </w:rPr>
        <w:t>E. 3.4</w:t>
      </w:r>
    </w:p>
    <w:p>
      <w:r>
        <w:t>Selon l’art. 32 al. 1 LIASI, le demandeur ou son représentant légal doit fournir gratuitement tous les renseignements nécessaires pour établir son droit et fixer le montant des prestations d'aide financière.![endif]&gt;![if&gt; L’art. 33 al. 1 LIASI prévoit en outre que le bénéficiaire ou son représentant légal doit immédiatement déclarer à l’hospice tout fait nouveau de nature à entraîner la modification du montant des prestations d’aide financière qui lui sont allouées ou leur suppression.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ATA/195/2021 du 12 juillet 2022 consid. 4a ; ATA/93/2020 du 28 janvier 2020 consid. 3a). La chambre de céans a eu l’occasion de relever que l’engagement écrit du bénéficiaire de l’aide sociale comprenait l’obligation de signaler tout départ, absence de Genève ou voyage à l’étranger ( ATA/1090/2022 du 1 er novembre 2022 consid. 3 ; ATA/437/2022 du 26 avril 2022 consid. 2d).</w:t>
      </w:r>
    </w:p>
    <w:p>
      <w:r>
        <w:rPr>
          <w:b/>
        </w:rPr>
        <w:t>E. 3.5</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 ou lorsqu'elle ne s'acquitte pas intentionnellement de son obligation de collaborer telle que prescrite par l'art. 32 (let. c) ou qu'elle refuse de donner les informations requises au sens des art. 7 et 32, donne des indications fausses ou incomplètes ou cache des informations utiles (let. d). Conformément à l’art. 35 al. 2 LIASI, l’hospice rend alors une décision écrite et motivée, avec les voies de droit (al. 2).![endif]&gt;![if&gt;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in JdT 1998 I 562 ; ATA/1662/2019 du 12 novembre 2019 consid. 7).</w:t>
      </w:r>
    </w:p>
    <w:p>
      <w:r>
        <w:rPr>
          <w:b/>
        </w:rPr>
        <w:t>E. 3.6</w:t>
      </w:r>
    </w:p>
    <w:p>
      <w:r>
        <w:t>Sous le titre « Prestations perçues indûment », l'art. 36 LIASI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5).![endif]&gt;![if&gt; De jurisprudence constante, toute prestation obtenue en violation de l'obligation de renseigner l'hospice est une prestation perçue indûment ( ATA/15/2023 du 10 janvier 2023 consid. 2g ; ATA/850/2022 du 23 août 2022 consid. 5b ; ATA/918/2019 du 21 mai 2019 consid. 2).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précité consid. 3d).</w:t>
      </w:r>
    </w:p>
    <w:p>
      <w:r>
        <w:rPr>
          <w:b/>
        </w:rPr>
        <w:t>E. 3.7</w:t>
      </w:r>
    </w:p>
    <w:p>
      <w:r>
        <w:t>Conformément à l’art. 42 LIASI, le bénéficiaire de bonne foi n’est tenu au remboursement, total ou partiel, que dans la mesure où il ne serait pas mis de ce fait dans une situation difficile (al. 1). Dans ce cas, il doit formuler par écrit une demande de remise dans un délai de 30 jours dès la notification de la demande de remboursement. Cette demande de remise est adressée à l'Hospice général (al. 2).![endif]&gt;![if&gt; De jurisprudence constante, les conditions de la bonne foi et de la condition financière difficile sont cumulatives ( ATA/1231/2022 du 6 décembre 2022 consid. 4g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w:t>
      </w:r>
    </w:p>
    <w:p>
      <w:r>
        <w:rPr>
          <w:b/>
        </w:rPr>
        <w:t>E. 3.8</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LPA).![endif]&gt;![if&gt;</w:t>
      </w:r>
    </w:p>
    <w:p>
      <w:r>
        <w:rPr>
          <w:b/>
        </w:rPr>
        <w:t>E. 3.9</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ATA/1083/2023 du 3 octobre 2023 consid. 2.6 ; ATA/783/2022 du 9 août 2022 consid. 3a).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2.4).![endif]&gt;![if&gt;</w:t>
      </w:r>
    </w:p>
    <w:p>
      <w:r>
        <w:rPr>
          <w:b/>
        </w:rPr>
        <w:t>E. 3.10</w:t>
      </w:r>
    </w:p>
    <w:p>
      <w:r>
        <w:t>En procédure pénale,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(art. 73 al. 2 du code de procédure pénale suisse du 5 octobre 2007 - CPP - RS 312.0).![endif]&gt;![if&gt;</w:t>
      </w:r>
    </w:p>
    <w:p>
      <w:r>
        <w:rPr>
          <w:b/>
        </w:rPr>
        <w:t>E. 3.11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II 182 consid. 3.6.2). En outre, le principe de la bonne foi commande aux autorités comme aux particuliers de s’abstenir, dans les relations de droit public, de tout comportement contradictoire ou abusif (ATF 136 I 254 consid. 5.2 ; arrêt du Tribunal fédéral 2C_934/2022 du 22 mars 2023 consid. 6.3.1).![endif]&gt;![if&gt; L'adage nemo auditur suam (propriam) turpitudinem allegans (nul ne peut se prévaloir de sa propre faute) concrétise le principe constitutionnel de la bonne foi et vaut également en matière de droit public (arrêt du Tribunal fédéral 2C_17/2008 du 16 mai 2008 consid. 6.2 ; ATA/1385/2021 du 21 décembre 2021 consid. 14 ; ATA/169/2020 du 11 février 2020 consid. 7b).</w:t>
      </w:r>
    </w:p>
    <w:p>
      <w:r>
        <w:rPr>
          <w:b/>
        </w:rPr>
        <w:t>E. 3.12</w:t>
      </w:r>
    </w:p>
    <w:p>
      <w:r>
        <w:t>En l'espèce, il n'y a pas lieu de s'écarter de l'arrêt de la CPAR s'agissant de l'établissement des faits, dès lors que l'instruction pénale a été menée de manière complète et dans le respect du contradictoire. On doit ainsi retenir que le recourant, pendant la période pénale concernée, soit d'octobre 2018 à septembre 2020, vivait en France, vraisemblablement avec sa compagne et ses enfants, et avait quitté Genève. Il remettait des quittances attestant faussement du paiement du loyer, ce à quoi s’ajoutaient de nombreux autres mensonges, notamment sur la validité de son titre de séjour, sur sa situation familiale ou encore sur l’existence d’une entreprise inscrite au RC.![endif]&gt;![if&gt; Il s'ensuit que le recourant a violé de manière crasse son devoir d'information envers l'intimé pendant la période précitée. Dans la mesure où le recourant précise lui-même dans son acte de recours que l'intimé savait, à tout le moins depuis le 21 août 2020, qu'il ne résidait plus au ______, mais qu'il a continué à fournir de fausses quittances de loyer et à percevoir l'aide financière de l'hospice jusqu'à fin février 2021 sans mentionner un quelconque changement d'adresse, on doit également retenir une violation du devoir d'information pendant cette période. En soutenant que l'intimé n'aurait pas dû continuer à lui verser d'aide financière entre les mois d'août ou septembre 2020 et celui de février 2021, le recourant se prévaut certes d'une éventuelle erreur de l'intimé, mais également de sa propre faute, puisque lesdites prestations auraient cessé sans délai – et même lui auraient dès le départ été refusées – s'il avait rempli correctement son devoir d'information. S'agissant plus précisément de ce que l'intimé a continué à servir des prestations d'aide sociale après avoir été averti de l'ouverture d'une procédure pénale contre le recourant, force est de constater que les communications du Ministère public contenaient une interdiction de divulgation fondée sur l'art. 73 al. 2 CPP. Les arguments de l'intimé, selon lesquels il a dû ouvrir une enquête, laquelle a été freinée tant par les contingences liées à la crise sanitaire que par l'absence de collaboration du recourant, emportent conviction. Il résulte de ce qui précède que la demande de restitution fondée sur l'art. 36 LIASI est fondée tant dans son principe que dans sa quotité. À cet égard, le fait que le Ministère public ait, pour des motifs qui lui sont propres, choisi d'arrêter la période pénale au mois de septembre 2020, n'empêche pas que les prestations versées entre octobre 2020 et février 2021 l'ont été en raison d'une violation du devoir d'information, et donc alors que le bénéficiaire n'était pas de bonne foi. Pour la même raison, la demande subsidiaire du recourant tendant à bénéficier d'une remise devait également être rejetée, la première condition posée par l'art. 42 LIASI, à savoir la bonne foi du bénéficiaire, n'étant à l'évidence pas remplie dans son cas. Ses arguments portent exclusivement sur la deuxième condition, soit sa situation financière difficile, et ne lui sont donc d'aucun secours. La décision sur opposition attaquée est ainsi conforme au droit, si bien que le recours sera rejeté.</w:t>
      </w:r>
    </w:p>
    <w:p>
      <w:r>
        <w:rPr>
          <w:b/>
        </w:rPr>
        <w:t>E. 4</w:t>
      </w:r>
    </w:p>
    <w:p>
      <w:r>
        <w:t>Vu la nature du litige, aucun émolument ne sera perçu (art. 87 al. 1 LPA ; art. 11 du règlement sur les frais, émoluments et indemnités en procédure administrative du 30 juillet 1986 - RFPA - E 5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