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A/366/2025 vom 16. Juni 2025</w:t>
      </w:r>
    </w:p>
    <w:p>
      <w:r>
        <w:t>GE Cour de justice, 2025-06-16, FR</w:t>
      </w:r>
    </w:p>
    <w:p>
      <w:r>
        <w:rPr>
          <w:b/>
        </w:rPr>
        <w:t xml:space="preserve">Quelle: </w:t>
      </w:r>
      <w:r>
        <w:t>https://mcp.opencaselaw.ch/entscheid/ge_gerichte_A_366_2025</w:t>
      </w:r>
    </w:p>
    <w:p>
      <w:r>
        <w:t>FR: GE_GERICHTE A/366/2025 du 16 juin 2025</w:t>
      </w:r>
    </w:p>
    <w:p>
      <w:r>
        <w:t>IT: GE_GERICHTE A/366/2025 del 16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point de savoir si c’est à juste titre que l’intimé a tenu compte de l’aide financière reçue par le fils du recourant pour l’année scolaire 2024-2025 dans le calcul de son droit aux prestations d’aide sociale.</w:t>
      </w:r>
    </w:p>
    <w:p>
      <w:r>
        <w:rPr>
          <w:b/>
        </w:rPr>
        <w:t>E. 3</w:t>
      </w:r>
    </w:p>
    <w:p>
      <w:r>
        <w:t>À titre liminaire, il convient de déterminer le droit applicable.</w:t>
      </w:r>
    </w:p>
    <w:p>
      <w:r>
        <w:rPr>
          <w:b/>
        </w:rPr>
        <w:t>E. 3.1</w:t>
      </w:r>
    </w:p>
    <w:p>
      <w:r>
        <w:t>Le 1 er janvier 2025 sont entrés en vigueur la loi sur l’aide sociale et la lutte contre la précarité du 23 juin 2023 (LASLP - J 4 04) et son règlement d’application (RASLP - J 4 04.01), abrogeant la LIASI et son règlement d’application du 25 juillet 2007 (RIASI - J 4 04.01). 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n’est pas prescrite au moment de l’abrogation de ladite loi (art. 81 al. 2 LASLP).</w:t>
      </w:r>
    </w:p>
    <w:p>
      <w:r>
        <w:rPr>
          <w:b/>
        </w:rPr>
        <w:t>E. 3.2</w:t>
      </w:r>
    </w:p>
    <w:p>
      <w:r>
        <w:t>En l’occurrence, le recourant a reçu une décision de refus de prestations. Il n’était ainsi pas au bénéfice de prestations prévues par la LIASI lors de l’entrée en vigueur de la LASLP. Il s’ensuit que c’est l’ancien droit, soit la LIASI dans sa teneur jusqu’au 31 décembre 2024, qui s’applique à sa situation.</w:t>
      </w:r>
    </w:p>
    <w:p>
      <w:r>
        <w:rPr>
          <w:b/>
        </w:rPr>
        <w:t>E. 4</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rPr>
          <w:b/>
        </w:rPr>
        <w:t>E. 4.1</w:t>
      </w:r>
    </w:p>
    <w:p>
      <w:r>
        <w:t>En droit genevois, la LIASI et le RIASI concrétisent l’art. 12 Cst. ( ATA/589/2025 du 27 mai 2025 consid. 2.2 ; ATA/362/2025 du 1 er avril 2025 consid. 4.2 et les références citées).</w:t>
      </w:r>
    </w:p>
    <w:p>
      <w:r>
        <w:rPr>
          <w:b/>
        </w:rPr>
        <w:t>E. 4.2</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w:t>
      </w:r>
    </w:p>
    <w:p>
      <w:r>
        <w:rPr>
          <w:b/>
        </w:rPr>
        <w:t>E. 4.3</w:t>
      </w:r>
    </w:p>
    <w:p>
      <w:r>
        <w:t>Selon l’art. 13 al. 1 LIASI, les prestations d’aide financière sont accordées au demandeur et au groupe familial dont il fait partie. Le groupe familial est composé du demandeur, de son conjoint, concubin ou partenaire enregistré vivant en ménage commun avec lui, et de leurs enfants à charge (al. 2). Les enfants à charges sont les enfants mineurs ainsi que les enfants majeurs jusqu’à l’âge de 25 ans révolus pour autant qu’ils soient en formation ou suivent des études régulières et qu’ils fassent ménage commun avec le demandeur (al. 3).</w:t>
      </w:r>
    </w:p>
    <w:p>
      <w:r>
        <w:rPr>
          <w:b/>
        </w:rPr>
        <w:t>E. 4.4</w:t>
      </w:r>
    </w:p>
    <w:p>
      <w:r>
        <w:t>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23 LIASI, sont prises en compte la fortune et les déductions sur la fortune prévues aux art. 6 et 7 LRDU, sous réserve des exceptions figurant aux al.  3 et 4 ci-dessous. Est assimilée à la fortune de l’intéressé celle des membres du groupe familial (al. 2). Ne sont pas considérés comme fortune : les biens grevés d'un usufruit ; ni pour l'usufruitier, ni pour le nu-propriétaire (let. a) ; l'allocation destinée à la création d'une activité indépendante au sens de l'art. 42C al. 8 ainsi que les autres aides obtenues pour la création d'une telle activité (let. b ; al. 3). Le Conseil d’État fixe par règlement les limites de fortune permettant de bénéficier des prestations d'aide financière (al. 5). Selon l’art. 6 LRDU, le socle du revenu déterminant unifié comprend les éléments de fortune immobilière et mobilière suivants (art. 47 LIPP) : tous les immeubles situés dans et hors du canton (let. a) ; les actions, les obligations et les valeurs mobilières de toute nature, les mises de fonds, apports et commandites représentant une part d’intérêt dans une entreprise, une société ou une association (let. b) ; l’argent comptant, les dépôts dans les banques, les soldes de comptes courants ou tous titres représentant la possession d’une somme d’argent (let. c) ; les créances hypothécaires et chirographaires (let. d) ; les éléments composant la fortune commerciale (let. e) ; les assurances-vie et vieillesse pour leur valeur de rachat (let. f) ; tout autre élément de fortune, à l’exclusion des meubles meublants et du capital versé à titre d’épargne à une institution de prévoyance (let. e). À teneur de l’art. 27 al. 1 LIASI, pour la fixation des prestations sont déterminantes les ressources du mois en cours (let. a) et la fortune au 31 décembre de l’année précédant celle pour laquelle la prestation est demandée (let. b). En cas de modification notable de la fortune du bénéficiaire, la prestation est fixée conformément à la situation nouvelle (al. 2).</w:t>
      </w:r>
    </w:p>
    <w:p>
      <w:r>
        <w:rPr>
          <w:b/>
        </w:rPr>
        <w:t>E. 4.5</w:t>
      </w:r>
    </w:p>
    <w:p>
      <w:r>
        <w:t>Selon l’art. 1 al. 1 RIASI, les limites de fortune permettant de bénéficier des prestations d’aide financière sont les suivantes : CHF 4'000.- pour une personne seule majeure (let. a) ; CHF 8'000.- pour un couple (let. b) ; CHF 2'000.- pour chaque enfant à charge (let. c). Le total de la fortune ne peut en aucun cas dépasser CHF 10'000.- pour l’ensemble du groupe familial (al. 2).</w:t>
      </w:r>
    </w:p>
    <w:p>
      <w:r>
        <w:rPr>
          <w:b/>
        </w:rPr>
        <w:t>E. 4.6</w:t>
      </w:r>
    </w:p>
    <w:p>
      <w:r>
        <w:t>En l’espèce, il n’est pas contesté que le recourant, son épouse et leur fils forment une unité économique au sens de l’art. 13 LIASI. C’est, partant, à bon droit que l’autorité intimée a pris en considération la fortune de chacun dans le calcul des prestations d’aide sociale (art. 23 al. 2 LIASI). Il n’est pas non plus contesté qu’au 30 novembre 2024, le solde du compte E______ du recourant s’élevait à CHF 1'098.65 et celui de son fils (compte F______) à CHF 9'081.40. Il s’ensuit qu’à cette date, leur fortune était supérieure à CHF 10'000.-. Le recourant se prévaut de l’art. 4 al. 1 let. h LRDU, applicable par le renvoi de l’art. 22 al. 1 LIASI, qui exclut la prise en compte, dans le socle du revenu déterminant unifié, des prestations visées à l’art. 13 LRDU, dans lesquelles figurent les bourses d’études (let. b ch. 6). Il perd toutefois de vue que ces dispositions concernent les revenus pris en compte, et non la fortune, qui est réglementée à l’art. 23 LIASI. Or, l’aide financière octroyée à son fils par la fondation n’a pas été prise en compte dans les revenus du groupe familial. Son argumentation à cet égard tombe ainsi à faux. Dans la mesure où l’aide financière a été versée sur le compte bancaire du fils, l’autorité intimée a correctement appliqué l’art. 6 let. c LRDU, applicable par le renvoi de l’art. 23 al. 1 LIASI, en intégrant le solde de son compte courant dans la fortune du groupe familial. Contrairement à ce que soutient le recourant, les dispositions applicables ne prévoient pas de dérogation à la prise en compte, au titre de fortune, des soldes de comptes courants lorsque l’argent vise à soutenir financièrement les étudiants. Les seuls biens qui ne sont pas considérés comme des éléments de fortune au sens de l’art. 23 LIASI sont les biens grevés d’un usufruit et l’allocation destinée à la création d’une activité indépendante (art. 23 al. 3 LIASI). Les aides financières, même accordées ponctuellement, constituent dès lors des éléments à prendre en compte dans la fortune du groupe familial. Le recours doit partant être rejeté.</w:t>
      </w:r>
    </w:p>
    <w:p>
      <w:r>
        <w:rPr>
          <w:b/>
        </w:rPr>
        <w:t>E. 5</w:t>
      </w:r>
    </w:p>
    <w:p>
      <w:r>
        <w:t>La procédure étant gratuite, aucun émolument ne sera perçu (art. 87 al. 3 LPA ; art. 11 du règlement sur les frais, émoluments et indemnités en procédure administrative du 30 juillet 1986 - RFPA - E 5 10.03). Vu l’issue du litige, le recourant ne peut se voir allouer une indemnité de procédure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