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A/3667/2020 vom 2. September 2021</w:t>
      </w:r>
    </w:p>
    <w:p>
      <w:r>
        <w:t>GE Cour de justice, 2021-09-02, FR</w:t>
      </w:r>
    </w:p>
    <w:p>
      <w:r>
        <w:rPr>
          <w:b/>
        </w:rPr>
        <w:t xml:space="preserve">Quelle: </w:t>
      </w:r>
      <w:r>
        <w:t>https://mcp.opencaselaw.ch/entscheid/ge_gerichte_A_3667_2020</w:t>
      </w:r>
    </w:p>
    <w:p>
      <w:r>
        <w:t>FR: GE_GERICHTE A/3667/2020 du 2 septembre 2021</w:t>
      </w:r>
    </w:p>
    <w:p>
      <w:r>
        <w:t>IT: GE_GERICHTE A/3667/2020 del 2 settembre 2021</w:t>
      </w:r>
    </w:p>
    <w:p>
      <w:pPr>
        <w:pStyle w:val="Heading2"/>
      </w:pPr>
      <w:r>
        <w:t>Regeste</w:t>
      </w:r>
    </w:p>
    <w:p>
      <w:r>
        <w:t>autorisation de construire | LaLAT.10.al8; LCI.59.al4; LCI.69.al2; LCI.33.al4; LCI.14.al1</w:t>
      </w:r>
    </w:p>
    <w:p>
      <w:pPr>
        <w:pStyle w:val="Heading2"/>
      </w:pPr>
      <w:r>
        <w:t>Erwägungen</w:t>
      </w:r>
    </w:p>
    <w:p>
      <w:r>
        <w:rPr>
          <w:b/>
        </w:rPr>
        <w:t>E. 2</w:t>
      </w:r>
    </w:p>
    <w:p>
      <w:r>
        <w:t>de plancher (soit la surface brute de plancher de la totalité de la construction hors sol ; cf. art. 59 al. 2 LCI), ne doit pas excéder 25 % de la surface de la parcelle ;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(al. 1). Lorsque les circonstances le justifient et que cette mesure est compatible avec le caractère, l'harmonie et l'aménagement du quartier, le DT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et 48 % lorsque la construction est conforme à un standard de très haute performance énergétique, reconnue comme telle par le service compétent (al. 4 let. a). Avant d’autoriser un projet de construction en 5ème zone, dont la densité correspond à celle prévue par l’art. 59 al. 4 let. a LCI, le DT doit recueillir les préavis de la CA, respectivement celui de la commune du lieu de situation (art. 59 al. 4 let. a LCI). 13.         Dans le système de la LCI, les avis ou préavis des communes, des départements et organismes intéressés ne lient pas les autorités (art. 3 al. 3 LCI). Ils n'ont qu’un caractère consultatif, sauf dispositions contraires et expresses de la loi; l’autorité reste ainsi libre de s’en écarter pour des motifs pertinents et en raison d’un intérêt public supérieur ( ATA/1157/2018 du 30 octobre 2018 et les références citées). Toutefois, lorsqu'un préavis est obligatoire, il convient de ne pas le minimiser ( ATA/873/2018 du 28 août 2018 et les références citées). Dans le système prévu par l’art. 59 al. 4 let. a LCI, tant le préavis de la commune que celui de la CA ont cette caractéristique ( ATA/873/2018 précité). Il n’en demeure pas moins que la délivrance de telles autorisations de construire demeure de la compétence exclusive du DT, à qui il appartient de statuer en tenant compte de tous les intérêts en présence ( ATA/1273/2017 du 12 septembre 2017 consid. 11c et les références citées; ATA/1335/2019 du 3 septembre 2019). Ainsi, en particulier, lorsque la consultation de la CA est imposée par la loi, l'autorité de recours observe une certaine retenue dans son pouvoir d'examen lorsque le DT a suivi son préavis ; en effet, la CA, composée essentiellement de spécialistes, est plus à même de prendre position sur des questions qui font appel aux connaissances de ces derniers qu'une instance composée de magistrats (cf. not. ATA/1186/2017 du 22 août 2017 consid. 6c ; ATA/521/2017 du 9 mai 2017 consid. 5e et les références citées).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ATA/724/2020 du 4 août 2020 consid. 3e ; ATA/639/2020 du 30 juin 2020 consid. 4d). 14.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ATA/1435/2017 consid. 8b citant ATA/1274/2017 du 12 septembre 2017; ATA/828/2015 du 11 août 2015; ATA/653/2014 du 19 août 2014). 15.         L'art. 59 al. 4 let. a LCI est issu d'une modification législative qui visait à promouvoir une utilisation plus intensive du sol en 5ème zone à bâtir, de façon à répondre à la crise du logement sévissant à Genève (cf. ATA/1273/2017 du 12 septembre 2017 consid. 11c ; ATA/1460/2017 du 31 octobre 2017 consid. 2d). Le législateur a eu conscience de cette évolution et a souhaité encourager la réalisation de ces nouvelles formes d'habitat (groupé ou en ordre contigu), lorsqu'il a augmenté les indices d'utilisation du sol dérogatoires susceptibles d'être appliqués dans cette zone. Il a considéré cette évolution comme une réponse utile et nécessaire aux problèmes de l'exiguïté du territoire et de la pénurie de logements, manifestant sa volonté d'appliquer l'art. 59 al. 4 let. a LCI partout où les dérogations prescrites pourraient avoir lieu (cf. ATA/1485/2017 du 14 novembre 2017 consid. 8d ; ATA/1460/2017 du 31 octobre 2017 consid. 2d ; ATA/828/2015 du 11 août 2015 consid. 8b, confirmé par l'arrêt du Tribunal fédéral 1C_476/2015 du 3 août 2016). 16.         La règle générale veut qu'un préavis sans observation équivaut à un préavis favorable ( ATA/778/2014 du 30 septembre 2014 consid. 3c et jurispr. cit.). Il arrive que des exigences de motivations plus élevées soient posées pour des préavis positifs, mais il s'agit de situations spéciales où l'application de la loi requiert une pesée particulièrement soignée des intérêts en présence ( ATA/718/2012 du 30 octobre 2012 consid. 8). Selon une jurisprudence constante de la chambre administrative de la Cour de justice (ci-après : chambre administrative), les préavis favorables de la CA n'ont pas à être motivés ( ATA/399/2020 du 23 avril 2020 consid. 5e et les références citées). Dans le prolongement de cette jurisprudence au sujet de l'absence d'obligation de motiver un préavis favorable, le tribunal de céans a récemment retenu que l'art. 59 al. 4 LCI ne saurait obliger la CA à motiver ses préavis sous l'angle des multiples critères d'après lesquels il est possible d'analyser l'intégration d'un projet dans son environnement, sauf à rendre son travail excessivement lourd, voire à paralyser son fonctionnement. Cela n'aboutit pas pour autant à l'opacité du dossier, puisque, d'une part, la motivation des préavis peut découler de manière plus ou moins explicite des demandes et remarques émises par l'instance concernée en vue de modification du projet et que, d'autre part, si les circonstances paraissent le justifier, cette instance peut être invitée à donner des explications détaillées en procédure contentieuse (JTAPI 269/2021 du 17 mars 2021; JTAPI/604/2019 du 26 juin 2019). La jurisprudence a aussi précisé qu'il importe peu qu'un préavis soit succinctement motivé, dans la mesure où la position de l'autorité de préavis et les arguments de caractère architectural et esthétique qui la motivent peuvent être établis lors de l'instruction du recours ( ATA/72/2007 du 20 février 2007, consid. 5b). 17.         En l'occurrence, il est inexact de prétendre que le préavis de la CA est dépourvu de toute motivation en ce qui concerne la dérogation à l'art. 59 al. 4 LCI. En effet, il ressort du dossier que la CA a rendu trois préavis dans lesquels elle a expliqué les motifs pour lesquels elle était favorable à une dérogation. Elle a notamment indiqué que le projet était de qualité et original, avec une implantation cohérente et une surface végétale préservée en suffisance. De même, le préavis de la commune du 11 juin 2020 apparaît dûment motivé. Celle-ci a en effet indiqué que le projet répondait aux modifications qu'elle avait requises à trois reprises, notamment la suppression du parking souterrain et de la rampe d'accès, ce qui augmentait la surface perméable de la parcelle. Par ailleurs, aux opinions favorables de la CA et de la commune, les recourants ont démontré par leurs écritures qu'ils avaient été parfaitement à même d'opposer un point de vue différent aux opinions favorables de la CA et de la commune et qu'ils savaient sous quel angle défendre leurs intérêts. Partant, le grief de manque de motivation des préavis en question doit être rejeté. 18.         Pour le surplus, sur l'argumentaire des recourants basé sur le non-respect du plan directeur de la commune de Vandoeuvre, il convient de rappeler que les plans directeurs communaux ne produisant aucun effet juridique à l'égard des particuliers qui ne peuvent d'ailleurs formuler aucun recours à leur encontre (art. 10 al. 8 de la loi d'application de la loi fédérale sur l'aménagement du territoire du 4 juin 1987 - LaLAT; arrêt du Tribunal fédéral 1C_423/2016 consid 4.2 et références citées), De plus, la commune et le SPI ont tous deux préavisé favorablement le projet, démontrant ainsi qu'ils le considéraient comme conforme au plan directeur communal. En tout état, et pour le surplus, un projet de construction conforme au droit cantonal ne peut être refusé au seul motif qu'il contreviendrait à un plan directeur communal (ATF 1C_257/2013 du 13 janvier 2014, consid. 5.3). Ce grief sera donc également rejeté. 19.         Il sied encore de relever que tous les préavis des instances spécialisées se sont révélés favorables au projet, notamment ceux de la CA et de la commune, préavis que l'art. 59 al. 4 let. a LCI exige. En particulier, ces dernières n'émettent pas de réserve quant à l'intégration du projet dans son environnement bâti. Or, de jurisprudence constante, chaque fois que l’autorité administrative suit les préavis des instances consultatives, l’autorité de recours observe une certaine retenue, fonction de son aptitude à trancher le litige. Pour le surplus, les recourants ne font que substituer leur propre appréciation à celle du département sur la question de l’adéquation de la construction avec son environnement bâti. C'est donc conformément à son pouvoir d'appréciation que le département, se fondant sur les préavis imposés par la loi, a autorisé une dérogation au rapport des surfaces dans le sens de l’art. 59 al. 4 LCI, étant rappelé que, comme déjà dit supra, ces préavis n'ont pas à être motivés. Le tribunal n'a ainsi pas à substituer sa propre appréciation à celle de l'autorité intimée, qui s'est elle-même reposée sur les préavis des instances de préavis compétentes, composées de spécialistes disposant des compétences utiles pour évaluer la situation. 20.         De plus, contrairement aux allégations des recourants, et comme relevé par le DT dans sa duplique du 16 avril 2021, le quartier a déjà fait l’objet de densifications similaires (DD 109'324), à savoir quatre villas mitoyennes autorisées et construites sur la parcelle n°1910, devenue les parcelles n°3'225, 3'226, 3'227 et 3'228. Cette DD 109'324, dont une copie a été produite par le DT et figure au dossier, a en outre été délivrée en application de la dérogation prévue à l'art. 59 al. 4 LCI avec une densité de 45,88%. Ainsi, contrairement à la position des recourants, la construction de trois villas contigües sur une parcelle de 1'630 m2 est acceptable. A toutes fins utiles, le tribunal relèvera que, quand bien même aucune dérogation n'aurait été délivrée dans le quartier auparavant, cela ne constituerait nullement un motif de refus d'octroi de l'autorisation sollicitée en application de l'art. 59 al. 4 LCI. Par ailleurs, à la lecture de l'extrait du plan cadastral ainsi que des coupes et gabarits établis par le géomètre officiel et visés ne varietatur , le tribunal constate que la distance entre la construction en surface et les limites de propriété est d'au moins 5 m sur chaque côté de la construction, dans le respect des prescriptions de l'art. 69 al. 2 LCI. A cet égard, l'argument des recourants selon lequel les constructions existantes seraient toutes placées en « net retrait » de la limite privative des parcelles, évitant un front bâti aux abords des chemins, doit également être rejeté. D'autre part, le fait que d'autres villas du quartier seraient construites au-delà de 5 m à compter de la limite parcellaire n'est pas pertinent, seul le respect de la distance légale minimale de 5m étant déterminant. Par conséquent, au vu de ce qui précède, soit tout particulièrement des préavis favorables de la commune et de la CA, le tribunal considère que le DT n'a pas abusé ni mésusé de son pouvoir d'appréciation en octroyant une dérogation au projet en application de l’art. 59 al. 4 LCI. 21.         Les recourants font encore valoir que le projet dépasse le coefficient d'utilisation du sol (44%) dans la mesure où la surface brute de plancher serait de 718m2 alors qu'elle ne devrait pas dépasser 717,2 m2, ce qui est formellement contesté par la société intimée, qui indique que la surface brute de plancher totale du projet est exactement de 717,20 m2. Selon une jurisprudence constante de la chambre administrative, une marge d'erreur de 3% est admissible dans le calcul de la surface brute (ATA 206/2021 du 23 février 2021 consid. 7b ; ATA/505/2007 du 9 octobre 20017 consid.7). En l'occurrence, quoiqu'il en soit, un écart de 0.8 m2 reste minime et largement en dessous de ce seuil de 3%. Ce grief sera donc également rejeté. 22.         Les recourants font encore valoir que le projet ne respecte pas le standard de haute performance énergétique (HPE). S'agissant du standard HPE du projet, l'art. 33 al. 4 du règlement d’application de la loi sur les constructions et les installations diverses du 27 février 1978 (RCI – L 5 05.01) prévoit qu'au moins trente jours avant l'ouverture d'un chantier ayant pour objet une nouvelle construction, un dossier énergétique complet, incluant le formulaire relatif à la performance énergétique et ses annexes, doit être remis au département pour validation. Le respect du standard énergétique relève donc de l'examen de la conformité de la construction à l'autorisation de construire, soit à l'exécution de celle-ci dont la conformité échappe au tribunal et appartient au département (ATA 1829/2019 du 17 décembre 2019 consid. 7c; ATA/1529/2019 du 15 octobre 2019 consid. 6). Ce grief sera donc également écarté. 23.         Les recourants avancent d'autre part que la réalisation du projet entrainerait des inconvénients graves et des dangers pour les piétons du fait de l'augmentation du trafic dans le chemin de desserte de la parcelle visée et du manque de places de stationnement. 24.         Selon l'art. 14 al. 1 LCI, le DT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ATA/1098/2019 du 25 juin 2019 consid. 5a; ATA/1724/2019 du 26 novembre 2019 consid. 8b ; ATA/1529/2019 du 15 octobre 2019 consid. 8). 25.         Selon la jurisprudence constante, l'accroissement du trafic routier, s'il est raisonnable, ne crée pas une gêne durable au sens de l'art. 14 LCI. De fait, l'accroissement du trafic engendré par de nouvelles constructions conformes à la destination de la zone ne constitue pas un inconvénient grave au sens de cette disposition (cf. not. ATA/285/2021 du 2 mars 2021; ATA/259/2020 du 3 mars 2020 consid. 7b). 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 26.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La chambre administrative a notamment retenu que la construction de trois villas nouvelles ne saurait générer d'inconvénients graves pour le voisinage ( ATA/461/2020 du 7 mai 2020 consid. 11c et les références citées), ou encore que la construction d'un habitat groupé de huit logements ne compromettait pas la desserte par un chemin où un croisement à vue était possible ( ATA/638/2020 du 30 juin 2020 consid. 4). 27.         La notion d'inconvénients graves est une norme juridique indéterminée, qui doit s'examiner en fonction de la nature de l'activité en cause et qui laisse à l'autorité une liberté d'appréciation. Celle-ci n'est limitée que par l'excès ou l'abus du pouvoir d'appréciation ( ATA/926/2016 du 1er novembre 2016 ; ATA/126/2013 du 26 février 2013). Le pouvoir d'examen du tribunal s'exerce dans les limites précitées, sous réserve du respect du principe de proportionnalité en cas de refus malgré un préavis favorable et de l'intérêt public en cas d'octroi d'une autorisation ( ATA/778/2014 du 30 septembre 2014 ; ATA/752/2014 du 23 septembre 2014). 28.         En l'espèce, la construction autorisée est conforme à la zone d'affectation de la parcelle (zone 5). De plus, le tribunal observe que le trafic supplémentaire engendré par la présence de nouveaux habitants dans le quartier est propre à la zone villas et donc conforme à la destination de cette zone. Pour le surplus, les recourants n'ont pas réussi à démontrer de façon convaincante que la construction de trois villas contiguës provoquerait un accroissement déraisonnable du trafic sur le chemin d'accès à leurs propriétés. Au contraire, et conformément à la jurisprudence précitée, l'accroissement du trafic provoqué par l'installation de trois habitations supplémentaires ne peut être raisonnablement considéré comme un « inconvénient grave » pour le voisinage. D'autre part, concernant le problème de croisement de véhicules, il ressort du dossier que l'OCT avait expressément requis dans son premier préavis (du 24 mai 2019) d'adapter l'alignement des aménagements extérieurs pour que la largeur du chemin d'accès desservant les habitations du secteur soit de 4,4 m au minimum afin de permettre le croisement des véhicules à vitesse réduite dans des conditions satisfaisantes. Or, il faut constater que la requérante a procédé à cette modification, élargissant le chemin à 4,61 m, et que l'OCT a alors rendu un préavis favorable (le 30 septembre 2020). Le tribunal souligne également que la largeur actuelle du chemin d'accès est de 3,83 m et que le projet visé (élargi à 4.61m) permettra une amélioration la fluidité du trafic. Par ailleurs, contrairement aux allégation des recourants, il ressort des plans produits que le rez-de-chaussée prévoit un décrochement correspondant à l'entrée d'accès de la parcelle. 29.         Concernant le manque de places visiteurs, le projet prévoit six places de stationnement pour véhicules, soit deux par lot, chaque lot étant d'une surface d'environ 240 m2. Ce résultat respecte le nombre minimum prévu par l'art. 5 al. 3 RPSFP, qui, s'appliquant typiquement à ce type de construction, déroge à la règle générale de l'art. 5 al. 1 RPSFP (« lex specialis »), en exigeant, pour les « maisons contigües », la création, par habitation, de deux « places pour les voitures », sans opérer une distinction entre les « cases habitants » et les « cases visiteurs ». Comme indiqué plus haut, l'art. 14 LCI n'a pas pour but d’empêcher toute construction dans une zone à bâtir, qui aurait des effets sur la situation ou le bien-être des voisins. Les parcelles des recourants se trouvent dans une zone qui permet la construction des trois villas projetées, de sorte qu'ils doivent en principe souffrir une éventuelle diminution du confort (vue, tranquillité) afférent à leurs biens, étant rappelé que le droit à la vue n'est protégé en droit public que par le biais des règles de police des constructions. Or, les recourants ne font pas valoir que les constructions litigieuses ne respectent pas les prescriptions y relatives applicables à la zone en cause. Dans ces conditions, il ne saurait être considéré que ces constructions pourront être la cause d'inconvénients graves pour le voisinage au sens de l'art. 14 al. 1 let. a LCI, le débat relevant en effet plus du confort des intéressés que de considérations de sécurité, de salubrité ou encore de danger ou de gêne durable. Les désagréments qu'ils évoquent, aussi regrettables soient-ils pour les personnes concernées, font en effet partie des conséquences pratiquement incontournables de l'édification de nouveaux bâtiments en zones à bâtir. Ils ne peuvent donc être suivis dans leur argumentation. 30.         Quant à la question du « parking sauvage » soulevée par les recourants, elle excède le cadre du litige, étant souligné que les véhicules parqués sur la voie publique en un lieu interdit ou gênant la circulation, de même que les véhicules parqués sans droit sur terrain privé peuvent être enlevés, saisis ou mis en fourrière (cf. art. 11 let. c et f de la loi d'application de la législation fédérale sur la circulation routière du 18 décembre 1987 - LaLCR - H 1 05), le prononcé de telles mesures échappant naturellement à la compétence tant du DT que du tribunal. 31.         Le recourants allèguent également que les sous-sols seraient aménagés de façon à pouvoir être rendus habitables, disposant de salles de bains et des pièces suffisamment spacieuses pour y aménager des chambres avec les ouvertures utiles. 32.         Si le voisin direct de la construction ou de l'installation litigieuse a en principe qualité pour recourir, il ne peut pas présenter n'importe quel grief ; il ne se prévaut d'un intérêt digne de protection, lorsqu'il invoque des dispositions édictées dans l'intérêt général ou dans l'intérêt de tiers, que si ces normes peuvent avoir une influence sur sa situation de fait ou de droit (ATF 141 II 50 consid. 2.1 ; 139 II 499 consid. 2.2 ; 137 II 30 consid. 2.2.3 ; arrêts du Tribunal fédéral 1C_378/2019 du 17 juin 2020 consid. 1.2 ). A défaut, il ne peut se prévaloir d'un intérêt digne de protection (cf. ATF 139 II 499 consid. 2.2 ; 137 II 30 consid. 2.2.3 ; 133 II 249 consid. 1.3) et il n'y a pas lieu d'entrer en matière sur le grief soulevé (cf. arrêts du Tribunal fédéral 1C_27/2018 du 6 avril 2018 consid. 1.1 ; 1C_334/2016 du 18 octobre 2016 consid. 4.1). Un intérêt digne de protection est en principe dénié au voisin lorsque l'objet du litige concerne l'application de règles relatives à l'aménagement intérieur des constructions, puisque l'impact visuel de la construction ne serait de toute manière pas modifié (ATF 133 II 249 consid. 1.3.2 ; arrêt du Tribunal fédéral 1C_565/2012 du 23 janvier 2013 consid. 2.1-2.3, publié in SJ 2013 I 526). 33.         En l'occurrence, les recourants n'indiquent pas quel intérêt digne de protection serait mis en cause par la configuration du sous-sol des constructions litigeuse, ni de quelle manière l'aménagement intérieur de ceux-ci pourrait avoir une influence de fait ou droit sur leur situation. Ce grief sera donc déclaré irrecevable. 34.         Enfin, quant au grief tiré du non-respect de la servitude de non bâtir inscrite sur la parcelle n°1980 en faveur de l'Etat de Genève, il sera également rejeté dans la mesure où il ressort des pièces du dossier que l'Etat de Genève y a renoncé et a dans l'intervalle sollicité sa radiation. 35.         Il découle de ce qui précède que la décision attaquée est conforme au droit. En tous points mal fondé, le recours sera par conséquent rejeté. 36.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il est partiellement couvert par l’avance de frais de CHF 900.- versée à la suite du dépôt du recours. 37.         Vu l'issue du litige, une indemnité de procédure de CHF 2'000.-, à la charge des recourants, pris conjointement et solidairement, sera allouée à Promo Holding SA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