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A/3666/2017 vom 8. Mai 2018</w:t>
      </w:r>
    </w:p>
    <w:p>
      <w:r>
        <w:t>GE Cour de justice, 2018-05-08, FR</w:t>
      </w:r>
    </w:p>
    <w:p>
      <w:r>
        <w:rPr>
          <w:b/>
        </w:rPr>
        <w:t xml:space="preserve">Quelle: </w:t>
      </w:r>
      <w:r>
        <w:t>https://mcp.opencaselaw.ch/entscheid/ge_gerichte_A_3666_2017</w:t>
      </w:r>
    </w:p>
    <w:p>
      <w:r>
        <w:t>FR: GE_GERICHTE A/3666/2017 du 8 mai 2018</w:t>
      </w:r>
    </w:p>
    <w:p>
      <w:r>
        <w:t>IT: GE_GERICHTE A/3666/2017 del 8 maggio 2018</w:t>
      </w:r>
    </w:p>
    <w:p>
      <w:pPr>
        <w:pStyle w:val="Heading2"/>
      </w:pPr>
      <w:r>
        <w:t>Erwägungen</w:t>
      </w:r>
    </w:p>
    <w:p>
      <w:r>
        <w:rPr>
          <w:b/>
        </w:rPr>
        <w:t>E. 1</w:t>
      </w:r>
    </w:p>
    <w:p>
      <w:r>
        <w:t>ère section dans la cause Monsieur A______ représenté par Me Christian Canela, avocat contre OFFICE CANTONAL DU LOGEMENT ET DE LA PLANIFICATION FONCIÈRE EN FAIT 1) Par décision du 22 octobre 2014, l’office cantonal du logement et de la planification foncière (ci-après : OCLPF) a requis de Madame B______ et Monsieur A______, locataires d’un appartement de quatre pièces, la restitution d’un montant de CHF 12'394.75 de subventions personnalisées perçues en trop pour la période du 1 er mai 2012 au 31 octobre 2014. ![endif]&gt;![if&gt; Les intéressés n’avaient pas avisé l’OCLPF en temps opportun de l’augmentation de leurs revenus. La décision n’ayant pas été contestée, un arrangement de paiement a été conclu entre l’OCLPF et les locataires. 2) Par décision du 22 mars 2017, l’OCLPF a rejeté la demande de remise du 15 mars 2017 de Mme B______ et M. A______. Une remise au motif d’un solde disponible insuffisant n’était pas envisageable à la suite d’une violation grave du devoir d’information.![endif]&gt;![if&gt; Pour le surplus, la situation financière des intéressés était inchangée. Le licenciement de M. A______ n’était pas intervenu en l’état, bien qu’une telle éventualité ait été envisagée par son employeur. CHF 4'082.65 restaient encore dus sur les CHF 12'394.75 perçus en trop. La décision n’a pas été contestée. 3) Le 25 juillet 2017, M. A______ a informé l’OCLPF qu’il avait été licencié le 22 mai 2017 pour le terme du 31 juillet 2017. Il concluait à la remise, avec effet immédiat, du solde de la dette. Copie de la lettre de licenciement était jointe.![endif]&gt;![if&gt; 4) Par décision du 2 août 2017, l’OCLPF a refusé d’entrer en matière sur la demande de reconsidération. Le licenciement ne permettait de modifier éventuellement que l’arrangement de paiement dont bénéficiait l’intéressé. ![endif]&gt;![if&gt; 5) Par acte du 7 septembre 2017, M. A______ a interjeté recours devant la chambre administrative de la Cour de justice (ci-après : la chambre administrative) contre la décision précitée.![endif]&gt;![if&gt; Il a conclu à l’annulation de celle-ci et à ce qu’il soit constaté que la décision négative de remise du 22 mars 2017 était réformée en ce sens que « le couple A______ était en droit de profiter d’une remise ». L’intimé avait en réalité procédé à un examen au fond, en août 2017, des nouveaux moyens de preuve offerts, de sorte que la décision entreprise n’était pas une décision d’irrecevabilité, mais de déboutement. 6) L’OCLPF a conclu à l’irrecevabilité du recours. En se limitant à motiver le recours par la phrase « Force est de constater que la situation matérielle du couple s’est gravement péjorée », l’acte ne satisfaisait pas à l’exigence de motivation. ![endif]&gt;![if&gt; Au fond, dès lors que la somme due découlait d’une violation grave du droit d’information du bénéficiaire de la prestation, il n’y avait pas de modification des circonstances depuis la décision d’origine du 22 mars 2017. Le recours devait être rejeté. 7) Le recourant n’ayant pas souhaité répliquer dans le délai qui lui avait été imparti,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L’autorité intimée conclut à l’irrecevabilité du recours au motif d’une motivation insuffisante.![endif]&gt;![if&gt; Cette question souffrira de rester indécise compte tenu de ce qui suit. 3) a. L’autorité administrative qui a pris une décision entrée en force n’est obligée de la reconsidérer que si sont réalisées les conditions de l’art. 48 al. 1 LPA.![endif]&gt;![if&gt;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ATA/1412/2017 précité ;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ATA/598/2016 du 12 juillet 2016 ; ATA/36/2014 du 21 janvier 2014). 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4) En l’espèce, le recourant allègue que sa situation se serait notablement modifiée depuis les précédentes décisions, invoquant l’existence d’un fait nouveau, à savoir son licenciement.![endif]&gt;![if&gt; Or, la problématique du licenciement du recourant ne constitue pas un fait nouveau au sens de l'art. 48 al. 1 let. b LPA, dès lors qu’il est sans pertinence pour la décision de remise. Comme l’a à juste titre relevé l’autorité intimée, de jurisprudence constante, une remise ne peut être accordée en cas de violation grave des devoirs du locataire.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du règlement d'exécution de la loi générale sur le logement et la protection des locataires du 24 août 1992 (RGL - I 4 05.01 ; ATA/1483/2017 du 14 novembre 2017 consid. 4e et les références citées). Tel est le cas ici, comme l’a déjà retenu la décision, non contestée, du 22 mars 2017. En l’absence de fait nouveau au sens de l’art. 48 al. 1 let. b LPA, c’est à juste titre que l’autorité intimée a rendu une décision de refus d’entrer en matière. 5) Le recourant allègue que l’autorité intimée serait « entrée en matière » et qu’en conséquence, la décision serait un rejet et non une irrecevabilité.![endif]&gt;![if&gt; Même à considérer que tel serait le cas, le résultat ne serait pas différent. La jurisprudence précitée de la chambre de céans sur les conditions de la remise fonde tout à la fois le refus d’entrer en matière sur la demande de reconsidération qu’un rejet au fond. 6) En tous points mal fondé, le recours sera rejeté en tant qu’il est recevable.![endif]&gt;![if&gt; Vu la nature du litige, aucun émolument ne sera perçu (art. 87 al. 1 LPA, 11 du règlement sur les frais, émoluments et indemnités en procédure administrative du 30 juillet 1986 - RFPA - E 5 10.03 ; ATA/157/2016 du 23 février 2016).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