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A/3663/2023 vom 2. Mai 2024</w:t>
      </w:r>
    </w:p>
    <w:p>
      <w:r>
        <w:t>GE Cour de justice, 2024-05-02, FR</w:t>
      </w:r>
    </w:p>
    <w:p>
      <w:r>
        <w:rPr>
          <w:b/>
        </w:rPr>
        <w:t xml:space="preserve">Quelle: </w:t>
      </w:r>
      <w:r>
        <w:t>https://mcp.opencaselaw.ch/entscheid/ge_gerichte_A_3663_2023</w:t>
      </w:r>
    </w:p>
    <w:p>
      <w:r>
        <w:t>FR: GE_GERICHTE A/3663/2023 du 2 mai 2024</w:t>
      </w:r>
    </w:p>
    <w:p>
      <w:r>
        <w:t>IT: GE_GERICHTE A/3663/2023 del 2 maggio 2024</w:t>
      </w:r>
    </w:p>
    <w:p>
      <w:pPr>
        <w:pStyle w:val="Heading2"/>
      </w:pPr>
      <w:r>
        <w:t>Erwägungen</w:t>
      </w:r>
    </w:p>
    <w:p>
      <w:r>
        <w:rPr>
          <w:b/>
        </w:rPr>
        <w:t>E. 1</w:t>
      </w:r>
    </w:p>
    <w:p>
      <w:r>
        <w:t>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 er janvier 2021 est entrée en vigueur la modification du 21 juin 2019 de la LPGA. Dans la mesure où le recours a été interjeté postérieurement au 1 er janvier 2021, il est soumis au nouveau droit ( cf . art. 82 a LPGA a contrario ).</w:t>
      </w:r>
    </w:p>
    <w:p>
      <w:r>
        <w:rPr>
          <w:b/>
        </w:rPr>
        <w:t>E. 3</w:t>
      </w:r>
    </w:p>
    <w:p>
      <w:r>
        <w:t>Le 1 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est né postérieurement au 31 décembre 2021, de sorte que les dispositions légales applicables seront citées dans leur nouvelle teneur.</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sur le bien-fondé de la décision de l’OAI de ne pas avoir effectué d’enquête ménagère afin d’évaluer le degré d’invalidité de l’assurée dans la sphère du ménage.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7</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 cf . Ralph LEUENBERGER, Gisela MAURO, Changements dans la méthode mixte, in Sécurité sociale/CHSS n° 1/2018 p. 45).</w:t>
      </w:r>
    </w:p>
    <w:p>
      <w:r>
        <w:rPr>
          <w:b/>
        </w:rPr>
        <w:t>E. 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10.1</w:t>
      </w:r>
    </w:p>
    <w:p>
      <w:r>
        <w:t>En l’espèce, la recourante ne conteste pas le taux d’invalidité retenu par l’intimé, pas plus que le montant de la rente entière ou la date du début de versement de cette dernière. Elle ne remet pas en question les prestations versées par l’OAI mais reproche à l’intimé de n’avoir pas effectué une enquête économique du ménage, au motif que cette dernière permettait d’évaluer son degré d’invalidité dans la sphère du ménage. Selon la recourante, l’absence d’enquête économique dans les travaux du ménage a pour conséquence que sa caisse de pension CAP a limité le versement de ses prestations à la part concernant l’activité lucrative, les empêchements dans les travaux du ménage n’étant pas déterminés au vu de l’absence d’enquête économique. À l’appui de son argumentation, la recourante produit, notamment, l’échange de courriels suivants : dans son courriel du 12 janvier 2024 adressé à CAP, la recourante mentionne que selon ce qui lui aurait été dit par un employé de CAP, si l’OAI lui reconnaissait un degré d’invalidité de 100%, comprenant les sphères d’activité lucrative et non lucrative, la rente LPP allouée correspondrait à 100% de la rente d’invalidité LPP assurée, indépendamment de son taux d’activité professionnel de 80% ; dans son courriel de réponse du 17 janvier 2024, CAP confirme que conformément à l’art. 25 al. 1 et 2 du règlement « Ville de Genève et les autres communes genevoises », le degré d’invalidité reconnu par CAP est celui reconnu par l’OAI. Les dispositions réglementaires qui relèvent de la prévoyance surobligatoire ne font aucune distinction entre le volet professionnel et ménager et la rente invalidité est, dès lors, allouée proportionnellement au degré d’invalidité reconnu par l’OAI.</w:t>
      </w:r>
    </w:p>
    <w:p>
      <w:r>
        <w:rPr>
          <w:b/>
        </w:rPr>
        <w:t>E. 10.2</w:t>
      </w:r>
    </w:p>
    <w:p>
      <w:r>
        <w:t>L’OAI de son côté allègue que, selon une jurisprudence constante, l’évaluation opérée par les organes compétents de l’assurance-invalidité ne lie pas l’institution de prévoyance lorsque l’assuré exerce une activité lucrative à temps partiel. Le degré d’invalidité fixé par l’OAI est contraignant pour la prévoyance professionnelle, uniquement pour ce qui concerne la partie lucrative. L’OAI souligne encore que l’assurance-invalidité couvre non seulement l’incapacité de gain, mais aussi les empêchements dans les travaux du ménage et que le degré d’invalidité des personnes exerçant une activité lucrative à temps partiel est déterminé selon la méthode mixte. En revanche, dans la prévoyance professionnelle, seule la capacité de gain est assurée. Dès lors, l’OAI constate que le taux d’invalidité calculé par la prévoyance professionnelle peut ainsi différer de celui de l’assurance-invalidité, car cette limitation concernant l’activité lucrative est déterminante pour l’OAI. Dès lors que le droit à une rente entière lui est reconnu, la recourante ne fait valoir aucun intérêt à la poursuite de la procédure en matière d’assurance-invalidité.</w:t>
      </w:r>
    </w:p>
    <w:p>
      <w:r>
        <w:rPr>
          <w:b/>
        </w:rPr>
        <w:t>E. 10.3</w:t>
      </w:r>
    </w:p>
    <w:p>
      <w:r>
        <w:t>Dès lors que l’intérêt au recours ne provient pas de la violation des dispositions sur l’assurance-invalidité, il sied d’examiner, de plus près, l’intérêt invoqué par la recourante afin de déterminer si elle dispose de la qualité pour recourir, au sens de l’art. 59 LPGA, qui énonce que la qualité pour recourir appartient à quiconque est touché par une décision et a un intérêt digne d’être protégé à ce qu’elle soit annulée ou modifiée. Il est admis qu’un recourant ne peut pas se prévaloir d’un intérêt digne de protection à la rectification du taux d’invalidité fixé dans la décision litigieuse, si la rectification n’entraîne aucun changement du droit à la rente ( cf . Jean METRAL, in DUPONT/ MOSER-SZELESS [éd.] Commentaire romand de la LPGA, 2018, n. 15 ss ad art. 59 et les références). Le Tribunal fédéral s’est prononcé, par arrêt du 17 mai 2011 ( 9C_858/2010 ), sur le cas particulier d’un recourant qui ne contestait pas la quotité de la rente octroyée par l’OAI, mais uniquement le degré d’invalidité retenu ; il s’est déterminé comme suit (traduction libre du consid. 1) : « lors d'une décision concernant des prestations d'assurance, seule la prestation fait en principe l'objet du dispositif. La réponse à la question de savoir quel degré d'invalidité a servi de base à l'octroi de la rente ne sert en revanche en règle générale qu'à motiver la décision de prestation. Elle ne pourrait faire partie du dispositif que si et dans la mesure où elle fait l'objet d'une décision de constatation. Étant donné que, dans tous les cas, seul le dispositif est attaquable, il convient d'examiner, en cas de contestation des motifs d'une décision de prestation, si la modification du dispositif n'est pas ainsi sollicitée par analogie. Il convient ensuite d'examiner si le recourant a éventuellement un intérêt digne de protection à la constatation immédiate concernant l'élément contesté de la décision (SVR 2009 LPP n° 27 p. 97, arrêt 8C_539/2008 consid. 2.2 ; SVR 2007 IV no 3 p. 8 consid. 1.3 avec référence arrêt I 808/05 du 9 juin 2006) ». Le Tribunal fédéral a poursuivi (même arrêt, traduction libre du consid. 2.3.2) : « le degré d'invalidité déterminé dans la procédure AI ne déploie toutefois pas d'effet contraignant pour la prévoyance professionnelle, et il n'existe pas non plus d'intérêt digne de protection à une contestation (indépendante), lorsqu'il ne doit pas être déterminé de manière exacte (« précise »), car une estimation grossière suffit pour fixer l'étendue du droit ou pour nier un droit (arrêt 9C_909/2010 du 15 décembre 2010 consid. 2.2.2 ; arrêt 9C_345/2008 du 25 juillet 2008 consid. 2.2 avec renvois ; cf . aussi SVR 2007 IV no 3 p. 8, I 808/05 consid. 4.2). Dans ce cas, l'institution de prévoyance éventuellement tenue de verser des prestations devra déterminer d'office le degré d'invalidité avec toute la diligence requise (arrêt 9C_345/2008 du 25 juillet 2008 consid. 2.3 avec référence). Pour ce faire, elle peut s'appuyer sur les investigations médicales et relatives à l'acquisition du revenu effectuées dans le cadre de la procédure AI (ATF 118 V 35 consid. 2b/aa p. 40) ». Sur la question de l’aspect contraignant de la décision de l’OAI, le Tribunal fédéral a précisé, dans un arrêt du 7 mars 2018 ( 9C_426/2017 ), l’absence de liens entre la rente d’invalidité versée dans le cadre de la prévoyance professionnelle et la rente d’invalidité fixée par l’OAI, en cas d’activité lucrative à temps partiel. Alors que l’OAI avait alloué à la recourante une rente entière, puis trois quarts de rente (reconnaissant un taux d’invalidité de 68%), l’institution de prévoyance avait retenu un taux d’invalidité de 46.67% donnant droit à un quart de rente d’invalidité selon les dispositions de la prévoyance professionnelle. Comme dans le cas d’espèce, la recourante exerçait une activité à temps partiel, soit un taux d’occupation de 60% dans la sphère professionnelle et 40% dans la sphère ménagère. Notre Haute cour a rappelé sa jurisprudence constante, selon laquelle l'évaluation opérée par les organes compétents de l'assurance-invalidité ne lie pas l'institution de prévoyance lorsque l'assuré exerce son activité lucrative à temps partiel. Dans ce cas, le degré d'invalidité fixé par l'OAI est contraignant pour la prévoyance professionnelle, uniquement en ce qui concerne la partie lucrative. En effet, la prévoyance professionnelle obligatoire et étendue a pour but d'assurer seulement l'activité lucrative (ATF 120 V 106 consid. 4b p. 109 ; voir aussi art. 331a de la loi fédérale du 30 mars 1911, complétant le Code civil suisse [CO, Code des obligations - RS 220]). Dans le cadre de la prévoyance professionnelle, le droit aux prestations est donné seulement s'il existe une couverture d'assurance lors de la survenance de l'incapacité de travail dont la cause est à l'origine de l'invalidité. Le Tribunal fédéral s'est exprimé en ce sens à plusieurs reprises depuis l'ATF 120 V 106 (arrêts B 47/97 du 15 mars 1999 consid. 2, in PJA 1999 p. 872 ; 9C_161/2007 du 6 septembre 2007 consid. 2 ; 9C_634/2008 du 19 décembre 2008 consid. 5.1 et 5.1.1 ; 9C_821/2010 du 7 avril 2011 consid. 4.2 et 9C_342/2015 du 21 octobre 2015 consid. 3 ; voir également ATF 141 V 127 consid. 5.3.2 p. 134 ; 136 V 390 consid. 4.2 p. 394). Les juges ont souligné que la prévoyance professionnelle n'avait pas vocation à assurer la part qui n'est pas consacrée à une activité professionnelle, ce qui explique pourquoi, lors de l'évaluation du degré d'invalidité, on ne prend en considération que le taux d'activité effectivement exercé et non pas sa projection à plein temps. Le Tribunal fédéral a encore expliqué que, contrairement à l’assurance-accidents, qui ne connaît que la méthode générale pour évaluer l’invalidité, l’assurance-invalidité applique d’autres méthodes de calcul et notamment les méthodes spécifiques ou mixtes. Par ailleurs, les motifs qui peuvent amener un assuré à travailler à temps partiel ne sont pas déterminants dès lors que la prévoyance professionnelle n'assure que la partie consacrée à l'activité lucrative (sur cette question, voir arrêts B 47/97 consid. 2 et 9C_821/2010 consid. 4.2 précités).</w:t>
      </w:r>
    </w:p>
    <w:p>
      <w:r>
        <w:rPr>
          <w:b/>
        </w:rPr>
        <w:t>E. 10.4</w:t>
      </w:r>
    </w:p>
    <w:p>
      <w:r>
        <w:t>À l’aune de ce qui précède, il sied de constater que la recourante ne bénéficie pas d’un intérêt digne de protection à ce que l’OAI établisse son degré d’invalidité dans la sphère ménagère. Dès lors que l’assurée exerce une activité à temps partiel, l’institution de prévoyance n’est aucunement liée par le taux d’invalidité qui serait retenu par l’OAI dans la sphère ménagère.</w:t>
      </w:r>
    </w:p>
    <w:p>
      <w:r>
        <w:rPr>
          <w:b/>
        </w:rPr>
        <w:t>E. 11</w:t>
      </w:r>
    </w:p>
    <w:p>
      <w:r>
        <w:t>Partant, la chambre de céans n’a d’autre choix que de rejeter le recours.</w:t>
      </w:r>
    </w:p>
    <w:p>
      <w:r>
        <w:rPr>
          <w:b/>
        </w:rPr>
        <w:t>E. 12</w:t>
      </w:r>
    </w:p>
    <w:p>
      <w:r>
        <w:t>La contestation ne portant pas sur des prestations de l’assurance-invalidité, elle n’est pas soumise à des frais judiciaires (art. 69 al. 1bis LAI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