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A/365/2023 vom 10. Oktober 2023</w:t>
      </w:r>
    </w:p>
    <w:p>
      <w:r>
        <w:t>GE Cour de justice, 2023-10-10, FR</w:t>
      </w:r>
    </w:p>
    <w:p>
      <w:r>
        <w:rPr>
          <w:b/>
        </w:rPr>
        <w:t xml:space="preserve">Quelle: </w:t>
      </w:r>
      <w:r>
        <w:t>https://mcp.opencaselaw.ch/entscheid/ge_gerichte_A_365_2023</w:t>
      </w:r>
    </w:p>
    <w:p>
      <w:r>
        <w:t>FR: GE_GERICHTE A/365/2023 du 10 octobre 2023</w:t>
      </w:r>
    </w:p>
    <w:p>
      <w:r>
        <w:t>IT: GE_GERICHTE A/365/2023 del 10 ottobre 2023</w:t>
      </w:r>
    </w:p>
    <w:p>
      <w:pPr>
        <w:pStyle w:val="Heading2"/>
      </w:pPr>
      <w:r>
        <w:t>Erwägungen</w:t>
      </w:r>
    </w:p>
    <w:p>
      <w:r>
        <w:rPr>
          <w:b/>
        </w:rPr>
        <w:t>E. 2</w:t>
      </w:r>
    </w:p>
    <w:p>
      <w:r>
        <w:t>Dans un grief formel qu'il convient d'aborder en premier lieu, le recourant se plaint d'une motivation insuffisante de la décision attaquée.![endif]&gt;![if&gt;</w:t>
      </w:r>
    </w:p>
    <w:p>
      <w:r>
        <w:rPr>
          <w:b/>
        </w:rPr>
        <w:t>E. 2.1</w:t>
      </w:r>
    </w:p>
    <w:p>
      <w:r>
        <w:t>Tel qu’il est garanti par l’art. 29 al. 2 de la Constitution fédérale de la Confédération suisse du 18 avril 1999 (Cst. - RS 101), le droit d’être entendu comprend, notamment, l’obligation pour l’autorité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 143 III 65 consid. 5.2 ; 141 IV 244 consid. 1.2.1). La motivation peut pour le reste être implicite et résulter des différents considérants de la décision (ATF 141 V 557 consid. 3.2.1 ; arrêt du Tribunal fédéral 1C_586/2021 du 20 avril 2022 consid. 2.1).![endif]&gt;![if&gt; Savoir si la motivation présentée est convaincante est une question distincte de celle du droit à une décision motivée. Dès lors que l’on peut discerner les motifs qui ont guidé la décision, le droit à une décision motivée est respecté, même si la motivation présentée est erronée (arrêt du Tribunal fédéral 1C_582/2021 du 21 février 2023 consid. 3.1 ; ATA/991/2023 du 12 septembre 2023 consid. 2.1).</w:t>
      </w:r>
    </w:p>
    <w:p>
      <w:r>
        <w:rPr>
          <w:b/>
        </w:rPr>
        <w:t>E. 2.2</w:t>
      </w:r>
    </w:p>
    <w:p>
      <w:r>
        <w:t>En l'espèce, s'agissant de la fixation du montant de l'indemnité pour tort moral à CHF 15'000.- plutôt qu'à CHF 20'000.- comme retenu par la chambre d'appel et de révision, l'autorité intimée a rappelé que le calcul de la réparation morale à titre d'aide aux victimes se faisait selon une échelle dégressive indépendante des montants habituellement accordés en droit civil (p. 6, avant-dernier §), et que le plafonnement de l'indemnisation LAVI impliquait que les montants alloués à ce titre étaient clairement inférieurs à ceux alloués selon le droit privé (p. 7, 3 e §). Elle a également mentionné les différentes fourchettes prévues par le guide de l'office fédéral de la justice (ci-après : OFJ), la somme de CHF 15'000.- constituant la charnière entre les atteintes à l'intégrité psychiques sévères et très sévères (p. 8, 2 e et 3 e §). Dans sa subsomption telle que critiquée par le recourant (p. 9, 8 e §), elle a indiqué deux éléments concrets la conduisant à retenir le montant de CHF 15'000.‑, à savoir le traumatisme physique important et l'absence de séquelles psychiques durables.![endif]&gt;![if&gt; Pris dans leur ensemble, les éléments de motivation qui précèdent permettent de comprendre que l'autorité intimée a retenu une atteinte sévère voire très sévère, et que si elle a certes baissé le montant alloué par les instances judiciaires pénales, elle n'a pas voulu considérablement s'en écarter. Quant au passage de CHF 15'000.- à CHF 12'000.-, soit une réduction de 20%, l'intimée l'a justifiée comme suit, à savoir « qu'en l'espèce, au vu de la participation du requérant à une activité illicite, en procédant à l'achat d'un véhicule volé, voire de son moteur, et du risque pris de conclure un marché avec des individus peu recommandables, force est de constater que le requérant a contribué à causer une atteinte à son intégrité, de sorte que l'indemnité pour réparation du tort moral est réduite de 20% ». Une telle motivation est d'autant plus claire et compréhensible qu'elle reprend le pourcentage utilisé par les juridictions pénales à titre de faute concomitante ( AARP/216/2018 précité consid. 5.1.3 et 5.2.2). Le recourant a du reste parfaitement compris cet aspect de la décision puisqu'il conteste dans son recours s'être exposé à un danger concret. Il résulte de ce qui précède que la motivation de la décision attaquée est suffisante, si bien que le grief y relatif sera écarté.</w:t>
      </w:r>
    </w:p>
    <w:p>
      <w:r>
        <w:rPr>
          <w:b/>
        </w:rPr>
        <w:t>E. 3</w:t>
      </w:r>
    </w:p>
    <w:p>
      <w:r>
        <w:t>Selon l’art. 61 al. 1 LPA, le recours peut être formé pour violation du droit, y compris l’excès et l’abus du pouvoir d’appréciation (let. a) et pour constatation inexacte ou incomplète des faits pertinents (let. b) ; les juridictions administratives n’ont pas compétence pour apprécier l’opportunité de la décision attaquée, sauf exception prévue par la loi (al. 2). ![endif]&gt;![if&gt;</w:t>
      </w:r>
    </w:p>
    <w:p>
      <w:r>
        <w:rPr>
          <w:b/>
        </w:rPr>
        <w:t>E. 4</w:t>
      </w:r>
    </w:p>
    <w:p>
      <w:r>
        <w:t>Le recourant conclut au versement d'une indemnité de CHF 8'000.- à titre de tort moral, et se plaint de la « double réduction » opérée par l'intimée.![endif]&gt;![if&gt;</w:t>
      </w:r>
    </w:p>
    <w:p>
      <w:r>
        <w:rPr>
          <w:b/>
        </w:rPr>
        <w:t>E. 4.1</w:t>
      </w:r>
    </w:p>
    <w:p>
      <w:r>
        <w:t>Selon l'art. 22 al. 1 LAVI, la victime et ses proches ont droit à une réparation morale lorsque la gravité de l'atteinte le justifie ; les art. 47 et 49 de loi fédérale complétant le Code civil suisse du 30 mars 1911 (Livre cinquième : Droit des obligations - CO - RS 220) s'appliquent par analogie. La réparation morale constitue désormais un droit (Message du Conseil fédéral du 9 novembre 2005, FF 2005 6742).![endif]&gt;![if&gt; Aux termes de l'art. 47 CO, le juge peut, en tenant compte de circonstances particulières, allouer à la victime de lésions corporelles une indemnité équitable à titre de réparation morale. Par ailleurs, celui qui subit une atteinte illicite à sa personnalité a droit à une somme d'argent à titre de réparation morale, pour autant que la gravité de l'atteinte le justifie et que l'auteur ne lui ait pas donné satisfaction autrement (art. 49 al. 1 CO).</w:t>
      </w:r>
    </w:p>
    <w:p>
      <w:r>
        <w:rPr>
          <w:b/>
        </w:rPr>
        <w:t>E. 4.2</w:t>
      </w:r>
    </w:p>
    <w:p>
      <w:r>
        <w:t>Le système d'indemnisation du tort moral instauré par la LAVI et financé par la collectivité publique est subsidiaire par rapport aux autres possibilités d'obtenir réparation dont la victime dispose déjà (art. 4 LAVI ; ATF 131 II 121 consid. 2 ; 123 II 425 consid. 4b). Ainsi, celui qui sollicite une indemnité doit rendre vraisemblable que l'auteur de l'infraction ne verse aucune prestation ou ne verse que des prestations insuffisantes, à moins que, compte tenu des circonstances, on ne puisse pas attendre de lui qu'il effectue des démarches en vue d'obtenir des prestations de tiers (art. 4 al. 1 et 2 LAVI ; ATF 125 II 169 consid. 2b.cc).![endif]&gt;![if&gt;</w:t>
      </w:r>
    </w:p>
    <w:p>
      <w:r>
        <w:rPr>
          <w:b/>
        </w:rPr>
        <w:t>E. 4.3</w:t>
      </w:r>
    </w:p>
    <w:p>
      <w:r>
        <w:t>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 ATA/1284/2021 du 23 novembre 2021 consid. 2b ; ATA/973/2015 du 22 septembre 2015 consid. 4c).![endif]&gt;![if&gt;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 128 II 49 consid. 4.3). Si le principe d'un droit subjectif à la réparation morale est ancré à l'art. 22 LAVI, le plafonnement de l'indemnisation implique que les montants alloués en vertu de cette loi sont nettement inférieurs à ceux alloués selon le droit privé (arrêts du Tribunal fédéral 1C_184/2021 du 23 septembre 2021 consid. 3.2 ; 1C_320/2019 du 23 avril 2020 consid. 4.3 ; 1C_583/2016 du 11 avril 2017 consid. 4.3). Sans avoir voulu instaurer une réduction systématique et proportionnelle des montants alloués en vertu du droit privé, le législateur a fixé les plafonds environ aux deux tiers des montants de base généralement attribués en droit de la responsabilité civile (Message du Conseil fédéral du 9 novembre 2005 concernant la révision totale de la LAVI [ci-après: le Message], FF 2005 6683, p. 6744 s.). La fourchette des montants à disposition est ainsi plus étroite qu'en droit civil, les montants les plus élevés devant être réservés aux cas les plus graves (arrêts du Tribunal fédéral 1C_184/2021 précité consid. 3.2 ; 1C_505/2019 du 29 avril 2020 consid. 3.1). Il convient par ailleurs de rappeler que dans le cadre de l'action civile prévue par les art. 122 à 126 du code de procédure pénale suisse du 5 octobre 2007 (CPP - RS 312.0), si la procédure est en principe celle prévue par le CPP, pour ce qui est du fond le juge pénal applique le droit matériel privé, soit en matière d'indemnité pour tort moral le CO, en particulier ses art. 47 et 49 (pour un exemple récent, voir l'arrêt du Tribunal fédéral 6B_545/2022 du 4 janvier 2023 consid. 13.2).</w:t>
      </w:r>
    </w:p>
    <w:p>
      <w:r>
        <w:rPr>
          <w:b/>
        </w:rPr>
        <w:t>E. 4.4</w:t>
      </w:r>
    </w:p>
    <w:p>
      <w:r>
        <w:t>La chambre administrative se fonde sur la jurisprudence rendue en la matière, et, vu le renvoi opéré par l’art. 22 al. 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consid. 3.1.1).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(ATF 129 II 312 consid 2.3 ; 128 II 49 consid. 4.1 et les références citées ;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2.4.3).![endif]&gt;![if&gt;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Sa détermination relève du pouvoir d’appréciation du juge (ATF 137 III 303 consid. 2.2.2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 ATA/222/2023 du 7 mars 2023 consid. 5b ; ATA/1291/2022 du 20 décembre 2022 consid. 7c). En raison de sa nature, elle échappe à toute fixation selon des critères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En matière de réparation du tort moral, une comparaison avec d'autres causes ne doit ainsi intervenir qu'avec circonspection, puisque le tort moral ressenti dépend de l'ensemble des circonstances du cas d'espèce. Cela étant, une comparaison peut se révéler, suivant les occurrences, un élément utile d'orientation (ATF 138 III 337 consid. 6.3.3 ; 130 III 699 consid. 5.1).</w:t>
      </w:r>
    </w:p>
    <w:p>
      <w:r>
        <w:rPr>
          <w:b/>
        </w:rPr>
        <w:t>E. 4.5</w:t>
      </w:r>
    </w:p>
    <w:p>
      <w:r>
        <w:t>Le Guide relatif à la fixation du montant de la réparation morale à titre d'aide aux victimes d'infractions à l'intention des autorités cantonales en charge de l'octroi de la réparation morale à titre de LAVI, rédigé en octobre 2008 (ci-après : le guide) a été entièrement remanié et s'intitule désormais « Guide relatif à la fixation du montant de la réparation morale selon la LAVI » du 3 octobre 2019 (accessible sous &lt;https://www.bj.admin.ch/dam/bj/fr/data/gesellschaft/opferhilfe/hilfsmittel/leitf-genugtuung-ohg-f.pdf&gt;, consulté le 28 septembre 2023).![endif]&gt;![if&gt; Il s'adresse aux autorités d'indemnisation des victimes et aux professionnels chargés d'accorder une réparation morale au sens de la LAVI. Le guide concerne principalement la prétention à réparation morale et la fixation de son montant au sens de la LAVI. Il a pour objectif de permettre l'application uniforme de la LAVI en matière de réparation morale (p. 2). Les fourchettes du guide aménagent une marge de manœuvre suffisante pour qu'il soit tenu compte des particularités de chaque cas d'espèce. La difficulté réside surtout dans le calcul du montant approprié à l'intérieur de ces fourchettes. La prise en considération de décisions antérieures semblables est dès lors essentielle pour garantir la sécurité et l'application uniforme du droit. Aussi, malgré la grande diversité des cas, certains facteurs ci-après sont récurrents : parmi les blessures légères, on range les contusions, les plaies par déchirure, les lésions dentaires, les morsures superficielles, les petites cicatrices et les troubles psychiques causés principalement par des atteintes inattendues. La fourchette se situe ici entre CHF 0.- et CHF 1'000.- ; en cas de blessures, dont la guérison se déroule le plus souvent sans complication telles que des fractures, les montants se situent entre CHF 1'000.- et CHF 3'000.-. S'il s'agit de blessures infligées par couteau ou par balle, la réparation peut s'élever jusqu'à CHF 5'000.- ; dans la tranche allant de CHF 5'000.- à CHF 10'000.-, on trouve surtout des lésions occasionnées à des organes (rate, foie, yeux) qui nécessitent un processus de guérison plus long et plus complexe et qui peuvent laisser des séquelles, telles une diminution de l'acuité visuelle, une paralysie intestinale ou une prédisposition accrue aux infections (Meret BAUMANN/Blanca ANABITARTE/Sandra MÜLLER GMÜNDER, La pratique en matière de réparation morale à titre d'aide aux victimes - Fixation des montants de la réparation morale selon la LAVI révisée, in Jusletter du 8 juin 2015, p. 27 s). Le guide prévoit ainsi (p. 10) une fourchette allant de CHF 5'000.- à CHF 10'000.- pour les atteintes corporelles à la guérison plus lente et plus complexe avec séquelles tardives éventuelles, telles qu'opérations, longues réhabilitations, dégradation de la vue, paralysie intestinale ou sensibilité accrue aux infections, et une fourchette de CHF 10'000.- à CHF 20'000.- pour les atteintes corporelles avec séquelles durables, telles que la perte de la rate, d’un doigt, de l’odorat ou du goût.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Dans un souci d'application uniforme et équitable de la loi, il peut être tenu compte des recommandations qui y sont mentionnées ( ATA/222/2023 précité consid. 5e).</w:t>
      </w:r>
    </w:p>
    <w:p>
      <w:r>
        <w:rPr>
          <w:b/>
        </w:rPr>
        <w:t>E. 4.6</w:t>
      </w:r>
    </w:p>
    <w:p>
      <w:r>
        <w:t>Selon l'art. 27 al. 1 LAVI, l’indemnité et la réparation morale en faveur de la victime peuvent être réduites ou exclues si celle-ci a contribué à causer l’atteinte ou à l’aggraver. Cette disposition permet de tenir compte des facteurs de réduction déduits du droit de la responsabilité civile (arrêt du Tribunal fédéral 1C_152/2020 du 8 septembre 2020 consid. 3.6).![endif]&gt;![if&gt;</w:t>
      </w:r>
    </w:p>
    <w:p>
      <w:r>
        <w:rPr>
          <w:b/>
        </w:rPr>
        <w:t>E. 4.7</w:t>
      </w:r>
    </w:p>
    <w:p>
      <w:r>
        <w:t>Les prestations versées par des tiers à titre de réparation morale doivent être déduites du montant alloué par l’instance LAVI (art. 23 al. 3 LAVI). Selon la jurisprudence tant du Tribunal fédéral que de la chambre de céans, les IPAI doivent en principe être déduits du montant de la réparation morale allouée sur la base de la LAVI (arrêt du Tribunal fédéral 1C_182/2007 du 28 novembre 2007 consid. 11 ; ATA/344/2012 du 5 juin 2012 consid. 7b ; ATA/139/2010 du 2 mars 2010 consid. 8a).![endif]&gt;![if&gt;</w:t>
      </w:r>
    </w:p>
    <w:p>
      <w:r>
        <w:rPr>
          <w:b/>
        </w:rPr>
        <w:t>E. 4.8</w:t>
      </w:r>
    </w:p>
    <w:p>
      <w:r>
        <w:t>En l'espèce, l'intimée a fixé l'indemnité pour tort moral à CHF 15'000.-. Il ne s'agit pas d'une « réduction » comme la qualifie le recourant, mais de la fixation de l'indemnité selon les critères susexposés qui sont ceux propres à l'application de la LAVI. Le montant choisi correspond à la charnière entre une atteinte psychique sévère et très sévère au sens du guide de l'OFJ. Au regard des éléments du dossier, à savoir notamment un traitement somatique d'assez longue durée, sans perte d'un membre mais avec nécessité d'opérer à cinq reprises, ainsi que des séquelles psychologiques d'une certaine intensité et durée, le choix d'un montant de CHF 15'000.- n'apparaît en tout cas pas comme étant insuffisant, étant rappelé que les montants alloués en vertu de la LAVI sont souvent nettement inférieurs à ceux alloués selon le droit privé.![endif]&gt;![if&gt; La réduction de 20% au sens de l'art. 27 al. 1 LAVI ne prête pas davantage le flanc à la critique. Elle correspond du reste à la diminution retenue par les juridictions pénales. À cet égard, comme relevé par la CPAR, la faute du tireur est à l'évidence plus importante que celle du recourant. Cela étant, en s'associant à des malfrats puis en leur tenant tête et en refusant de payer le montant convenu, il s'exposait à l'évidence à des mesures de rétorsion et à des méthodes de recouvrement violentes. La réduction de l'indemnité est donc pleinement justifiée. Enfin, la soustraction de l'IPAI – et, accessoirement, du petit montant déjà versé par l'un des auteurs – correspond tant à l'art. 23 al. 3 LAVI qu'à la jurisprudence y relative décrite ci-dessus. Il s'ensuit que la décision attaquée est conforme au droit et que le recours, mal fondé, doit être rejeté.</w:t>
      </w:r>
    </w:p>
    <w:p>
      <w:r>
        <w:rPr>
          <w:b/>
        </w:rPr>
        <w:t>E. 5</w:t>
      </w:r>
    </w:p>
    <w:p>
      <w:r>
        <w:t>Vu la nature du litige, il ne sera pas perçu d’émolument (art. 30 al. 1 LAVI et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