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A/3654/2020 vom 18. Februar 2022</w:t>
      </w:r>
    </w:p>
    <w:p>
      <w:r>
        <w:t>GE Cour de justice, 2022-02-18, FR</w:t>
      </w:r>
    </w:p>
    <w:p>
      <w:r>
        <w:rPr>
          <w:b/>
        </w:rPr>
        <w:t xml:space="preserve">Quelle: </w:t>
      </w:r>
      <w:r>
        <w:t>https://mcp.opencaselaw.ch/entscheid/ge_gerichte_A_3654_2020</w:t>
      </w:r>
    </w:p>
    <w:p>
      <w:r>
        <w:t>FR: GE_GERICHTE A/3654/2020 du 18 février 2022</w:t>
      </w:r>
    </w:p>
    <w:p>
      <w:r>
        <w:t>IT: GE_GERICHTE A/3654/2020 del 18 febbraio 2022</w:t>
      </w:r>
    </w:p>
    <w:p>
      <w:pPr>
        <w:pStyle w:val="Heading2"/>
      </w:pPr>
      <w:r>
        <w:t>Erwägungen</w:t>
      </w:r>
    </w:p>
    <w:p>
      <w:r>
        <w:rPr>
          <w:b/>
        </w:rPr>
        <w:t>E. 9</w:t>
      </w:r>
    </w:p>
    <w:p>
      <w:r>
        <w:t>ème Chambre En la cause Madame A______, domiciliée ______, à PLAN-LES-OUATES, comparant avec élection de domicile en l'étude de Maître Florian BAIER recourante contre OFFICE DE L'ASSURANCE-INVALIDITÉ DU CANTON DE GENÈVE, sis rue des Gares 12, GENÈVE intimé EN FAIT A. a. Madame A______ (ci-après : l’assurée), née le ______ 1964, de nationalité érythréenne, s’est installée en Suisse en 1985. En 1992, elle a épousé à Genève un compatriote. Le couple a eu deux enfants en 1991 et 1993 et s’est séparé une première fois en 1997, puis en 2011, avant de divorcer en 2016. Dès 2013, l’assurée a été aidée financièrement par l’Hospice général. b. L’intéressée a été engagée par l’entreprise B______SA (ci-après : l’employeur) le 26 août 2014, pour effectuer un remplacement unique de nettoyage durant 2 heures. c. Durant cet emploi, elle a chuté dans les escaliers et subi une fracture non déplacée de la métaphyse proximale du troisième métatarse droit. L’évolution a été marquée par la persistance de douleurs mécaniques de la jambe et du pied droits, avec des paresthésies et des hypoesthésies au niveau du territoire du nerf péronier superficiel droit. d. La Caisse nationale suisse d’assurance en cas d’accidents (CNA), assureur-accident de l’employeur, a pris en charge les suites du sinistre, notamment le versement d’indemnités journalières jusqu’au 30 mai 2015. Par décision du 14 juillet 2016, elle a nié le droit de l’intéressée à une rente et à une indemnité pour atteinte à l’intégrité, motif pris qu’elle était apte à exercer une activité dans différents secteurs de l’industrie lui permettant de percevoir un revenu supérieur à celui précédemment réalisé. B. a. Le 16 mars 2016, l’assurée a déposé une première demande de prestations auprès de l’office de l’assurance-invalidité du canton de Genève (ci-après : l’OAI). b. Par décision du 26 septembre 2016 entrée en force, l’OAI a refusé l’octroi de toute prestation à l’intéressée. Il a retenu que cette dernière exerçait une activité lucrative à 23% et que les 77% restant devaient être considérés comme une activité dans la sphère ménagère. Selon le dossier médical, elle était apte à travailler à son taux habituel dans toute activité et ne devrait rencontrer aucun empêchement notable dans ses travaux ménagers. c. Le 8 mai 2017, l’OAI a enregistré une deuxième demande, dans laquelle l’assurée a noté être en totale incapacité de travail depuis le 26 août 2014. d. Par décision du 5 septembre 2017 entrée en force, l’OAI a conclu que l’aggravation de l’état de santé n’était pas plausible, de sorte qu’il a refusé d’entrer en matière sur la nouvelle demande. C. a. Le 23 mars 2018, l’assurée a déposé une troisième demande de prestations auprès de l’OAI, mentionnant avoir été aide-ménagère à 50% en 2014 et être atteinte dans sa santé depuis 2016. b. Dans un rapport reçu le 30 avril 2018, la doctoresse C______, spécialiste FMH en psychiatrie et psychothérapie, a diagnostiqué un trouble dépressif récurrent avec syndrome somatique, épisode actuel moyen (F33.11) ayant nécessité l’introduction d’un traitement antidépresseur dont l’efficacité était par moment insuffisante. c. En date du 20 novembre 2018, le service médical régional de l’OAI (ci-après : SMR) a considéré que sa précédente appréciation demeurait inchangée concernant l’atteinte orthopédique, mais qu’il convenait d’entrer en matière sur la nouvelle demande s’agissant de l’atteinte psychique. d. Par rapport du 16 mars 2019, la Dresse C______ a retenu le diagnostic de trouble dépressif récurrent, épisode actuel sévère, sans symptôme psychotique (F33.2). Le traitement comprenait la prise d’antidépresseurs, une psychothérapie de groupe et des séances individuelles. La capacité de travail était nulle et l’intéressée n’avait que très difficilement à s’occuper de son intérieur. e. Selon une note interne du 4 juillet 2019, l’OAI a retenu que l’assurée avait travaillé une seule journée en 2014 à 23%, de sorte qu’il a confirmé le statut fixé en 2016, soit 23% pour la sphère professionnelle et 77% pour la sphère ménagère. f. L’OAI a confié une expertise psychiatrique au Département de psychiatrie des Hôpitaux universitaires de Genève, réalisée par la doctoresse D______ et le docteur E______. Dans leur rapport du 6 janvier 2020, ces médecins ont diagnostiqué un épisode dépressif sévère sans symptôme psychotique (F32.2) débuté durant l’été 2017, avec une rémission partielle et une évolution positive permettant de retenir une intensité dépressive moyenne (F32.1) depuis juillet 2019 avec la persistance de symptômes de type insomnie d’endormissement, thymie triste, anxiété et diminution de l’appétit. Ce trouble avait entraîné une totale incapacité de travail dès le mois de mars 2018, suivie d’une amélioration en juillet 2019 ayant permis une capacité de travail de 50% avec un rendement initial de 50% qui pourrait aller en s’améliorant en fonction de l’évolution et de la réponse clinique aux différentes propositions thérapeutiques. Concernant les travaux habituels, l’intéressée décrivait une capacité globalement préservée dans les tâches ménagères quotidiennes, hormis certains jours où il lui était trop difficile de se mobiliser. g. Sur demande de l’OAI, les experts ont précisé le 26 février 2020 que le traitement recommandé pour améliorer la capacité de travail était exigible et qu’une fois instauré, ses effets sur la symptomatologie dépressive et les douleurs chroniques pourraient se déployer dans les 3 à 6 mois, de telle sorte que l’on pourrait observer dans un premier temps une amélioration du rendement de la capacité résiduelle de travail de l’assurée, actuellement estimée à 50%. h. Dans une appréciation du 17 mars 2020, le SMR a conclu que l’assurée présentait une atteinte à la cheville et un épisode dépressif moyen, troubles ayant entraîné une incapacité de travail à 100% depuis mars 2018. La capacité de travail exigible était de 0% dans l’activité habituelle de nettoyeuse, et de 50% dans une activité adaptée dès le mois de juillet 2019. Les limitations fonctionnelles comprenaient le port de charges lourdes ou de façon répétée, la nécessité de pouvoir changer de position et d’éviter la position accroupie, à genoux et la marche en terrain irrégulier. La persistance des symptômes de type insomnie, endormissement, thymie triste et anxiété constituaient également des restrictions. i. Le 21 juillet 2020, une infirmière évaluatrice de l’OAI a rendu un rapport d’enquête économique sur le ménage suite à une visite au domicile de l’assurée. Compte tenu de l’exigibilité totale retenue (14.2%), elle a conclu à un empêchement pondéré de 0%. D. a. En date du 5 septembre 2020, l’OAI a informé l’assurée qu’il envisageait de rejeter sa demande. b. Le 28 septembre 2020, l’assurée s’est opposée, contestant être apte à travailler à 50% et relevant que sa psychiatre considérait que son état était tout au plus stationnaire, sans amélioration permettant une reprise du travail. c. Par décision du 16 octobre 2020, l’OAI a nié le droit de l’assurée à une rente d’invalidité. Il a retenu que l’intéressée se consacrait à 23% à une activité professionnelle et à 77% à l’accomplissement de ses travaux habituels dans le ménage. Selon l’instruction médicale, la capacité de travail était nulle dans l’activité habituelle dès le mois de mars 2018, mais de 50% dans une activité adaptée dès le mois de juillet 2019. À l’échéance du délai d’attente d’un an, soit en mars 2019, le degré d’invalidité dans la sphère professionnelle était de 23% (23% x 100%) et il n’y avait aucun empêchement dans la sphère ménagère compte tenu de l’évolution médicale et de l’exigibilité des membres de la famille (77% x 0%). Dès le mois de juillet 2019, l’état de santé s’était amélioré et permettait une reprise d’activité adaptée à 50%. Le revenu sans invalidité était fixé à CHF 32'235.- et le revenu avec invalidité à CHF 11'431.-, de sorte que la perte de gain était de CHF 20'804.-, correspondant à un taux de 64.54%. Compte tenu de la pondération, le degré d’invalidité était fixé à 14.84% (23% x 64.54) pour la part professionnelle et à 0% pour la part ménagère (77% x 0%), soit un degré total arrondi à 15%. E. a. Par acte du 12 novembre 2020, complété le 16 décembre 2020, l’assurée, représentée par un avocat, a conclu, sous suite de frais et dépens, à l’annulation de la décision litigieuse, à l’octroi d’une rente d’invalidité entière dès le 1 er mars 2018 et à la mise en œuvre d’une mesure de reclassement professionnel « conformément aux recommandations médicales (HUG) ». En substance, elle a contesté le statut mixte retenu par l’intimé et considéré que ce dernier devait, avant de pouvoir se déterminer sur son degré d’invalidité, lui octroyer les mesures de réadaptation prévues dans l’expertise. b. En date du 22 décembre 2020, la recourante a souligné qu’elle était en recherche d’emploi à 100% et enregistrée comme telle auprès de l’office cantonal de l’emploi (ci-après : l’OCE) en 2013 et 2014. Elle a produit un extrait de son dossier de l’assurance-chômage. c. Dans sa réponse du 18 janvier 2021, l’intimé a conclu au rejet du recours. Il a relevé qu’aucun élément médical ne pouvait expliquer l’absence de recherche d’activité professionnelle entre les mois de juin 2016 et mars 2018 et qu’il apparaissait que la recourante n’avait pas entrepris d’activité lucrative pour des raisons étrangères à l’assurance-invalidité. d. Par écriture du 2 février 2021, la recourante a soutenu qu’elle aurait travaillé à 100% dans son activité habituelle si cela avait été possible. Or, elle n’était pas, en été 2017, apte à exercer son activité habituelle et l’intimé ne lui avait proposé aucune possibilité de réadaptation ou de réinsertion professionnelle, alors qu’une reconversion était nécessaire afin de pouvoir espérer récupérer une certaine capacité de gain. De plus, elle ne pouvait plus s’inscrire auprès de l’OCE. Elle s’est référée aux rapports rendus par sa médecin traitante durant cette période. e. En date du 24 mars 2021, l’intimé a contesté que la médecin traitante ait considéré que la capacité de travail résiduelle ne pouvait être atteinte que moyennant l’exécution préalable de mesures de réadaptation. f. Le 14 avril 2021, la recourante a persisté dans ses conclusions. Le fait qu’elle n’ait pas recouru contre la première décision de l’intimé n’emportait pas la validation de tous les éléments qui y figuraient, notamment concernant le statut retenu. L’intimé avait admis qu’elle présentait, au moment du dépôt de sa demande de mars 2018, une incapacité de travail complète dans toute activité, comme retenu par le SMR. Il n’y avait donc aucune raison de ne pas lui accorder une rente pour la période du 23 mars 2018 au 31 octobre 2019. L’expertise avait établi la nécessité d’une mesure de réadaptation professionnelle. Elle avait donc droit à une rente dès le 1 er mars 2018 pour une durée indéterminée, respectivement jusqu’à la mise en œuvre des mesures de réadaptation commandées par les circonstances et nécessaires selon l’expertise.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dans leur ancienne teneur. 4. Le délai de recours est de trente jours (art. 56 LPGA ; art. 62 al. 1 de la loi sur la procédure administrative du 12 septembre 1985 [LPA - E 5 10]). Interjeté dans la forme et le délai prévus par la loi, le recours est recevable. 5. Le litige porte sur le droit de la recourante à des prestations de la part de l’intimé. 6.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6.1 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trois-quarts de rente s'il est invalide à 60% au moins, à une demi-rente s'il est invalide à 50% au moins ou à un quart de rente s'il est invalide à 40% au moins.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6.2 Tant lors de l'examen initial du droit à la rente qu'à l'occasion d'une révision de celle-ci (art. 17 LPGA),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l'assurance-invalidité [RAI - RS 831.201]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6.2.1 Selon l’art. 27bis RAI en vigueur depuis le 1 er janvier 2018, pour les personnes qui exercent une activité lucrative à temps partiel et accomplissent par ailleurs des travaux habituels visés à l'art. 7 al. 2 LAI,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6.2.2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6.3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6.3.1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6.3.2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Selon la jurisprudence, il n'y a pas lieu de tenir compte des limitations fonctionnelles au titre d'un abattement supplémentaire lorsqu'elles ont déjà conduit un médecin à réduire la capacité de travail d'un assuré (arrêt du Tribunal fédéral 9C_273/2019 du 18 juillet 2019).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w:t>
      </w:r>
    </w:p>
    <w:p>
      <w:r>
        <w:rPr>
          <w:b/>
        </w:rPr>
        <w:t>E. 10</w:t>
      </w:r>
    </w:p>
    <w:p>
      <w:r>
        <w:t>En l’espèce, dans sa décision litigieuse du 16 octobre 2020, l’intimé a retenu un statut mixte, comprenant une part de 23% dans la sphère professionnelle et une part de 77% dans la sphère ménagère. Il a ainsi repris les proportions retenues dans sa première décision du 26 septembre 2016, lesquelles étaient basées sur le questionnaire pour l’employeur du 12 avril 2016. Ce document mentionne en effet que l’horaire normal dans l’entreprise était de 43 heures par semaine et que la recourante avait travaillé durant 2 heures le 26 août 2014. Compte tenu de l’horaire quotidien dans l’entreprise (8.6 heures au vu des 43 heures par semaine [et non pas 8 comme erronément indiqué dans ledit document]), il en découle un taux d’activité de 23.26%.</w:t>
      </w:r>
    </w:p>
    <w:p>
      <w:r>
        <w:rPr>
          <w:b/>
        </w:rPr>
        <w:t>E. 10.1</w:t>
      </w:r>
    </w:p>
    <w:p>
      <w:r>
        <w:t>La recourante a contesté ce statut, soutenant que son mari et elle avaient adopté une répartition des tâches traditionnelles durant le mariage et qu’elle s’était occupée du ménage et de la famille, alors que son époux pourvoyait à leurs besoins financiers. Suite à leur séparation, elle avait commencé une activité professionnelle en janvier 2013 avant d’être congédiée et de s’inscrire au chômage. Compte tenu de l’évolution de sa situation familiale, elle avait recherché un emploi à temps plein au moment de l’accident ayant entraîné une incapacité de travail durable, et avait été enregistrée comme telle auprès de l’OCE en 2013 et 2014.</w:t>
      </w:r>
    </w:p>
    <w:p>
      <w:r>
        <w:rPr>
          <w:b/>
        </w:rPr>
        <w:t>E. 10.2</w:t>
      </w:r>
    </w:p>
    <w:p>
      <w:r>
        <w:t>Ces allégations sont manifestement inexactes. Il ressort en effet de l’extrait du compte individuel de la recourante que cette dernière a travaillé dès sa venue en Suisse auprès de différents employeurs, cumulant plusieurs activités à temps partiel pour des revenus variables, souvent complétés par le versement d’indemnités de chômage. Ainsi, en 1986, elle a travaillé pour trois entreprises entre juillet et décembre, pour un gain total de CHF 8'273.-. En 1987, 1988 et 1989, elle a réalisé des gains annuels de CHF 23'765.-, respectivement CHF 21'397.- et CHF 28'268.-, indemnités de chômage inclues. En 1990, elle a travaillé pour un seul employeur et gagné CHF 26'587.-. Suite à la naissance de ses enfants en 1991 et 1993, elle n’a pas complètement renoncé à l’exercice d’une activité lucrative, mais ses gains ont diminué jusqu’en 1998. Entre 1999 et 2006, ses revenus ont souvent été complétés par des prestations de l’assurance-chômage ou des prestations cantonales. Depuis 2009, la recourante a perçu des montants annuels inférieurs à CHF 12'000.-, indemnités de chômage comprises (CHF 9'413.- en 2009, CHF 10'988.- en 2010, CHF 11'706.- en 2011, CHF 10'972.- en 2012, CHF 9'103.- en 2013, CHF 7'183.- en 2014, CHF 905.- en 2015, CHF 326.- en 2016 et CHF 1'999.- en 2017). On ne saurait donc suivre son argumentation lorsqu’elle soutient qu’elle aurait, sans atteinte à la santé, augmenté son taux d’activité et travaillé à 100% en raison de sa séparation, puisque cette dernière est survenue en janvier 2011 et que la recourante n’a pas travaillé davantage alors qu’elle ne connaissait encore aucun problème de santé et que ses enfants étaient déjà majeurs. Le fait que l’intéressée se soit inscrite auprès de l’OCE comme demandeuse d’emploi à 100% et qu’elle ait effectué des recherches à un tel taux ne saurait suffire à lui reconnaître un statut d’active à temps complet. Lors de l’enquête ménagère du 20 juillet 2020, l’intéressée a déclaré qu’elle travaillerait « au moins 2 heures par jour ou à mi-temps » si elle n’avait pas été atteinte dans sa santé. Aucun élément ne justifie de retenir le taux de 50% plutôt que celui qui correspond par ailleurs à la détermination de l’intimé, étant rappelé que les gains annuels les plus élevés de la recourante au cours des neuf années précédant sa dernière demande de prestations s’élevaient à CHF 11'706.- (2011). Si l’intéressée avait eu l’intention d’augmenter ses revenus au vu de sa situation financière précaire, elle aurait eu l’occasion de le faire entre 2011 et 2014. Qui plus est, la recourante n’a exercé aucune activité professionnelle suite au prononcé de la décision du 26 septembre 2016 entrée en force, par laquelle l’intimé lui a nié le droit à une rente d’invalidité, au motif qu’elle disposait d’une capacité de travail entière. La chambre de céans relèvera encore que les salaires reçus par la recourante depuis 2009 s’apparentent à une activité exercée à un taux inférieur à 25%. Par exemple, en 2012, année durant laquelle elle a travaillé durant les 12 mois pour seulement deux employeurs, sans percevoir d’autres indemnités, alors qu’elle était déjà séparée et en bonne santé habituelle, ses gains se sont élevés à CHF 10'972.-, soit CHF 914.35 par mois. Selon les données statistiques, le salaire mensuel d’une femme, aide de ménage, entre 30 et 49 ans (T17, ligne 91) se montait en 2012 à CHF 4'012.-, dont le 23% (CHF 922.75) ne diffère que très peu du salaire effectivement perçu par recourante.</w:t>
      </w:r>
    </w:p>
    <w:p>
      <w:r>
        <w:rPr>
          <w:b/>
        </w:rPr>
        <w:t>E. 10.3</w:t>
      </w:r>
    </w:p>
    <w:p>
      <w:r>
        <w:t>Eu égard à tout ce qui précède, il convient de confirmer le statut mixte retenu par l’intimé, avec une part professionnelle de 23% et une part ménagère de 77%.</w:t>
      </w:r>
    </w:p>
    <w:p>
      <w:r>
        <w:rPr>
          <w:b/>
        </w:rPr>
        <w:t>E. 11</w:t>
      </w:r>
    </w:p>
    <w:p>
      <w:r>
        <w:t>L’intimé a considéré, dans la décision litigieuse, qu’à l’échéance du délai d’attente d’une année, soit au mois de mars 2019, le degré d’invalidité dans la sphère professionnelle était de 23% (23% x 100%) et qu’il n’y avait aucun empêchement dans la sphère ménagère compte tenu de l’évolution médicale et de l’exigibilité des membres de la famille (77% x 0%). Dès le mois de juillet 2019, l’état de santé s’était amélioré et permettait une reprise d’activité adaptée à 50%. Le revenu sans invalidité était fixé à CHF 32'235.- et le revenu avec invalidité à CHF 11'431.-, de sorte que la perte de gain était de CHF 20'804.-, correspondant à un taux de 64.54%. Compte tenu de la pondération, le degré d’invalidité dans la sphère professionnelle était fixé à 14.84% (23% x 64.54%), arrondi à 15%. L’évaluation de la capacité de travail repose sur l’avis du SMR du 17 mars 2020, aux termes duquel l’atteinte somatique et l’épisode dépressif moyen avaient entraîné une incapacité de travail de 100% depuis mars 2018 et de 50% dès juillet 2019 dans une activité adaptée permettant de changer de position, sans port de charges lourdes ou de façon répétée, sans travail accroupi ou à genoux, et sans marche en terrain irrégulier.</w:t>
      </w:r>
    </w:p>
    <w:p>
      <w:r>
        <w:rPr>
          <w:b/>
        </w:rPr>
        <w:t>E. 11.1</w:t>
      </w:r>
    </w:p>
    <w:p>
      <w:r>
        <w:t>La recourante soutient qu’elle a subi une incapacité de gain totale de mars 2018 à juin 2019 et partielle à 25%, au vu de la capacité de travail de 50% avec un rendement de 50%, dès le mois de juillet 2019, moyennant la mise en place d’une réadaptation professionnelle. Elle n’était plus apte à exercer son activité habituelle et une reconversion était nécessaire afin de pouvoir espérer récupérer une certaine capacité de gain, comme attesté par sa médecin traitante et le rapport d’expertise. Il incombait donc à l’intimé de mettre en œuvre une telle mesure avant de pouvoir procéder à l’évaluation de son taux d’invalidité puisque la valorisation économique de sa capacité fonctionnelle de travail présupposait l’exécution de telles mesures.</w:t>
      </w:r>
    </w:p>
    <w:p>
      <w:r>
        <w:rPr>
          <w:b/>
        </w:rPr>
        <w:t>E. 11.2</w:t>
      </w:r>
    </w:p>
    <w:p>
      <w:r>
        <w:t>La chambre de céans observe tout d’abord que le rapport d’expertise du 6 janvier 2020 remplit tous les réquisits jurisprudentiels pour se voir reconnaître une pleine valeur probante, ce qui n’est au demeurant pas contesté par les parties. Ce document a en effet été rendu en pleine connaissance de cause par des spécialistes, après une étude approfondie du dossier, plusieurs entretiens avec l’expertisée et un entretien avec la psychiatre traitante. Les plaintes de l’intéressée ont été prises en considération et les experts ont livré des conclusions motivées et convaincantes.</w:t>
      </w:r>
    </w:p>
    <w:p>
      <w:r>
        <w:rPr>
          <w:b/>
        </w:rPr>
        <w:t>E. 11.3</w:t>
      </w:r>
    </w:p>
    <w:p>
      <w:r>
        <w:t>S’agissant des mesures de réadaptation, les experts ont indiqué que, de par son niveau socio-économique, l’expertisée était limitée dans sa connaissance et compréhension des aides et ressources à disposition. Elle nécessitait une réorientation professionnelle et d’être accompagnée et guidée dans ses démarches. Elle avait besoin d’une mesure de réinsertion/réadaptation du fait d’un changement d’orientation. Elle ne travaillait plus depuis des années et était en ce sens déconditionnée. La capacité de travail était de 50% et pouvait être améliorée par la poursuite du suivi psychothérapique et par la mise en place d’un traitement pharmacologique adapté, combiné à des approches de type thérapie groupale ou psychocorporelle. Une activité initiale de type réinsertion serait à privilégier en tenant compte des limitations. Les experts n’ont pas indiqué que la capacité de travail résiduelle retenue ne pourrait être atteinte qu’après l’exécution de mesures de réadaptation. Ces dernières ont avant tout été préconisées en raison du niveau socio-économique de la recourante, afin de l’aider dans sa réorientation. En ce qui concerne la médecin traitante, la doctoresse F______, spécialiste FMH en médecine interne, elle a indiqué, dans son rapport du 21 juin 2017, que la capacité de travail de sa patiente était de 50% et qu’on pouvait « se poser la question » d’une reconversion professionnelle pour le 50% restant. Par la suite, elle a mentionné, dans un rapport du 17 août 2017, que la capacité de travail n’excédait pas 50% et qu’une reconversion professionnelle pourrait être « envisageable » dans une profession assise. Elle n’a donc pas subordonné la capacité de travail résiduelle à la mise en œuvre de mesures préalables. Quant à la Dresse C______, psychiatre traitante, ses rapports d’avril 2018 et de mars 2019 ne font pas non plus état de la nécessité d’accorder des mesures d’ordre professionnel à la recourante.</w:t>
      </w:r>
    </w:p>
    <w:p>
      <w:r>
        <w:rPr>
          <w:b/>
        </w:rPr>
        <w:t>E. 11.4</w:t>
      </w:r>
    </w:p>
    <w:p>
      <w:r>
        <w:t>En ce qui concerne la capacité de travail, les experts ont expliqué, dans leur rapport du 6 janvier 2020, que la recourante avait présenté une dépression sévère sans symptôme psychotique dès l’été 2017, avec une évolution positive et une rémission partielle, permettant de retenir une intensité dépressive moyenne depuis juillet 2019, avec la persistance de symptômes de type insomnie d’endormissement, thymie triste, anxiété et diminution de l’appétit. Ce trouble psychique avait entraîné une incapacité de travail de 100% dès le mois de mars 2018 et de 50% dès le mois de juillet 2019, avec un rendement initial de 50% qui pourrait aller en s’améliorant en fonction de l’évolution et de la réponse clinique aux différentes propositions thérapeutiques. La capacité de travail pouvait être améliorée par la poursuite du suivi psychothérapique et par la mise en place d’un traitement pharmacologique adapté, combiné à des approches de type thérapie groupale ou psychocorporelle. Sur demande de l’intimé, les experts ont précisé le 26 février 2020 que le traitement recommandé pour améliorer la capacité de travail était exigible et qu’une fois instauré, ses effets sur la symptomatologie dépressive et les douleurs chroniques pourraient se déployer dans les 3 à 6 mois, de telle sorte que l’on pourrait observer dans une premier temps une amélioration du rendement de la capacité résiduelle de travail de la recourante, actuellement estimée à 50%. Par avis du 17 mars 2020, le SMR a conclu que la recourante présentait une atteinte à la cheville et un épisode dépressif moyen, troubles ayant entraîné une incapacité de travail à 100% depuis mars 2018. La capacité de travail exigible était de 0% dans l’activité habituelle de nettoyeuse, et de 50% dans une activité adaptée dès le mois de juillet 2019. Les limitations fonctionnelles comprenaient le port de charges lourdes ou de façon répétée, la nécessité de changer de position et d’éviter la position accroupie ou à genoux, de marcher en terrain irrégulier. La persistance des symptômes de type insomnie d’endormissement, thymie triste et anxiété constituaient également des restrictions. Force est donc de constater que le SMR n’a pas pris en considération la diminution de rendement de 50% retenue par les experts, sans motivation aucune, de sorte qu’on ignore s’il s’agit d’une appréciation divergente ou d’une omission. La chambre de céans rappellera que les psychiatres ont estimé que le rendement « pourrait » être amélioré, ce qui relève donc d’une simple supposition. De plus, cette potentielle amélioration nécessitait une approche pharmacologique, car la recourante avait décrit une prise médicamenteuse ne permettant pas d’obtenir l’efficacité attendue pour un tel traitement, étant précisé qu’elle souffrait d’effets secondaires indésirables qui impactaient son adhérence au traitement et qu’elle n’avait pas compris correctement les raisons et bénéfices de l’instauration du traitement. Ces explications sont corroborées par le rapport de la Dresse C______ rendu en avril 2018, dans lequel la psychiatre traitante a notamment mentionné que le traitement antidépresseur manquait par moment d’efficacité. Dans ces conditions, faute d’avoir sollicité une nouvelle évaluation de la capacité de travail de la recourante avant de statuer sur sa demande, l’intimé aurait dû prendre en considération la diminution de rendement retenue par les experts, dont le rapport remplit toutes les exigences pour se voir reconnaître une pleine valeur probante. La chambre de céans retiendra donc, conformément à l’appréciation des experts, que la recourante présentait une capacité de travail de 0% dès le mois de mars 2018 et de 50% dès le mois de juillet 2019 dans une activité adaptée, avec une diminution de rendement de 50%. La question de savoir si et quand la recourante a présenté une capacité de travail de 50% avec un rendement normal peut rester ouverte, dès lors qu’elle n’a aucune incidence sur l’issue du litige.</w:t>
      </w:r>
    </w:p>
    <w:p>
      <w:r>
        <w:rPr>
          <w:b/>
        </w:rPr>
        <w:t>E. 11.5</w:t>
      </w:r>
    </w:p>
    <w:p>
      <w:r>
        <w:t>La recourante ne remet pas en cause les conclusions du rapport d’enquête ménagère, laquelle a été réalisée par une infirmière qualifiée au domicile de l’intéressée, en pleine connaissance de cause. Aucun élément ne justifie de s’écarter des conclusions de ce document, aux termes duquel la recourante ne présente aucun empêchement pondéré compte tenu de l’exigibilité totale retenue. À cet égard, il sera notamment rappelé que les experts psychiatres ont relevé que l’intéressée décrivait une capacité globalement préservée dans les tâches ménagères quotidiennes, hormis certains jours où il lui était trop difficile de se mobiliser.</w:t>
      </w:r>
    </w:p>
    <w:p>
      <w:r>
        <w:rPr>
          <w:b/>
        </w:rPr>
        <w:t>E. 11.6</w:t>
      </w:r>
    </w:p>
    <w:p>
      <w:r>
        <w:t>En ce qui concerne le calcul du degré d’invalidité, il doit donc être corrigé en tenant compte, pour la part professionnelle de 23%, d’une capacité de travail résiduelle de 50% accompagnée d’une diminution de rendement de 50%, dès le mois de juillet 2019. Le calcul de l’intimé peut donc être confirmé pour la période courant dès le 1 er mars 2019, soit un degré d’invalidité totale de 23% (23% x 100% pour la part professionnelle et 77% x 0% pour la part ménagère) n’ouvrant pas le droit à une rente. Dès le mois de juillet 2019, l’état de santé de l’intéressée s’est amélioré et elle a recouvré une capacité de travail résiduelle dans une activité adaptée. Il ressort d’une note interne du 4 septembre 2020 que l’intimé a déterminé le revenu avec invalidité en se basant sur les ESS 2018, TA1_tirage_skill_level, total, femme, niveau 1 (CHF 4'371.-, annualisé, adapté à la durée hebdomadaire de travail et indexé à 2019, soit un montant de CHF 55'222.-). Compte tenu du taux d’activité de 23% et d’un abattement de 10%, le revenu déterminant s’élevait à CHF 11'431.-. Concernant le revenu sans invalidité, il l’a fixé à CHF 32'234.78 pour un 100%. Selon la nouvelle méthode de calcul, la différence entre les revenus avec et sans invalidité révélait une perte de gain de 64.54%. Compte tenu du taux de l’activité professionnelle (23%), l’invalidité s’élevait à 14.84% (23% x 64.54%) pour la sphère professionnelle et 0% pour la sphère ménagère. Bien que la recourante ne fasse valoir aucun grief à l’encontre de ce calcul, la chambre de céans considère que celui-ci paraît d’emblée critiquable. L’intimé s’est en effet basé sur l’extrait de compte individuel pour établir le revenu sans invalidité à CHF 7'414.- (revenus de CHF 7'183.- en 2014 indexés à 2019), qu’il a ensuite converti en salaire à temps complet (CHF 32'234.78). Or, ce résultat est sensiblement inférieur à celui qui ressort des données statistiques. Selon les ESS 2018 (T17, ligne 91, aides de ménage), le revenu mensuel s’élevait à CHF 4'419.- pour une femme de plus de 50 ans. Annualisé, adapté à la durée hebdomadaire de travail et indexé à 2019, il en résulte un montant de CHF 55'828.-, que la chambre de céans retiendra à titre de revenu de valide. S’agissant du revenu avec invalidité, le montant de CHF 55'222.- fondé sur les ESS 2018 (TA1_tirage_skill_level) peut être confirmé. Toutefois, compte tenu de la capacité de travail résiduelle de 25%, c’est ce dernier taux qui doit être appliqué et non pas les 23% retenus par l’intimé. Il en découle donc un montant de CHF 13'805.50. Selon la jurisprudence, il n'y a pas lieu de tenir compte des limitations fonctionnelles au titre d'un abattement supplémentaire lorsqu'elles ont déjà conduit un médecin à réduire la capacité de travail d'un assuré, ce qui est le cas en l’occurrence. La chambre de céans considère, au vu de la capacité de travail de 50% et de la diminution de rendement également de 50%, qu’un abattement supplémentaire au revenu avec invalidité est discutable, les autres critères n’étant pas réalisés. Cela étant, cette question n’a toutefois pas de répercussion sur les droits de la recourante. Ainsi, en tenant compte d’un revenu avec invalidité de CHF 12'424.95 (CHF 13'805.50 – 10%), la perte de gain se monte à CHF 43'403.05, ce qui représente un degré d’invalidité de 78%, pondéré à 18% compte tenu de la part professionnelle de 23%, ce qui est insuffisant pour ouvrir le droit à une rente d’invalidité. Le taux de 18% est également insuffisant pour ouvrir le droit à une mesure de reclassement, étant précisé que la recourante n’a pas démontré qu’elle en remplissait les autres conditions et que cela ne résulte pas du dossier.</w:t>
      </w:r>
    </w:p>
    <w:p>
      <w:r>
        <w:rPr>
          <w:b/>
        </w:rPr>
        <w:t>E. 12</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