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A/3651/2021 vom 10. August 2023</w:t>
      </w:r>
    </w:p>
    <w:p>
      <w:r>
        <w:t>GE Cour de justice, 2023-08-10, FR</w:t>
      </w:r>
    </w:p>
    <w:p>
      <w:r>
        <w:rPr>
          <w:b/>
        </w:rPr>
        <w:t xml:space="preserve">Quelle: </w:t>
      </w:r>
      <w:r>
        <w:t>https://mcp.opencaselaw.ch/entscheid/ge_gerichte_A_3651_2021</w:t>
      </w:r>
    </w:p>
    <w:p>
      <w:r>
        <w:t>FR: GE_GERICHTE A/3651/2021 du 10 août 2023</w:t>
      </w:r>
    </w:p>
    <w:p>
      <w:r>
        <w:t>IT: GE_GERICHTE A/3651/2021 del 10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a été interjeté postérieurement au 1 er janvier 2021, il est soumis au nouveau droit (cf. art. 82a LPGA.![endif]&gt;![if&gt;</w:t>
      </w:r>
    </w:p>
    <w:p>
      <w:r>
        <w:rPr>
          <w:b/>
        </w:rPr>
        <w:t>E. 4</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LPCC).![endif]&gt;![if&gt;</w:t>
      </w:r>
    </w:p>
    <w:p>
      <w:r>
        <w:rPr>
          <w:b/>
        </w:rPr>
        <w:t>E. 5</w:t>
      </w:r>
    </w:p>
    <w:p>
      <w:r>
        <w:t>Le litige porte sur la question de savoir si c’est à juste titre que l’intimé a requis de la recourante la restitution de CHF 1'930.-, correspondant aux prestations versées en trop du 1 er novembre 2020 au 31 mai 2021, plus particulièrement sur celle de savoir si c'est à juste titre que le SPC a considéré que sa bénéficiaire avait partagé son logement avec une tierce personne durant cette période et comptabilisé dans ses calculs le loyer proportionnellement au nombre d’habitants.![endif]&gt;![if&gt;</w:t>
      </w:r>
    </w:p>
    <w:p>
      <w:r>
        <w:rPr>
          <w:b/>
        </w:rPr>
        <w:t>E. 6</w:t>
      </w:r>
    </w:p>
    <w:p>
      <w:r>
        <w:t>S'agissant des prestations complémentaires (PC) fédérales,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relatifs.![endif]&gt;![if&gt; Sur le plan cantonal, ont droit aux PC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PC (ATF 127 V 10 ss). Cette règle vise à empêcher le financement indirect de personnes non comprises dans le calcul des PC. En conséquence, peu importe la répartition réelle du paiement du loyer entre les personnes partageant le foyer.</w:t>
      </w:r>
    </w:p>
    <w:p>
      <w:r>
        <w:rPr>
          <w:b/>
        </w:rPr>
        <w:t>E. 7</w:t>
      </w:r>
    </w:p>
    <w:p>
      <w:r>
        <w:t>Les décisions de PC peuvent être modifiées avec effet ex tunc lorsque sont réalisées les conditions présidant à la révocation, par son auteur, d’une décision administrative.![endif]&gt;![if&gt;</w:t>
      </w:r>
    </w:p>
    <w:p>
      <w:r>
        <w:rPr>
          <w:b/>
        </w:rPr>
        <w:t>E. 7.1</w:t>
      </w:r>
    </w:p>
    <w:p>
      <w:r>
        <w:t>L’art. 25 al. 1 1 ère phrase LPGA énonce que les prestations indûment touchées doivent être restituées. Le droit de demander la restitution s’éteint un an dès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les PC indûment touchées et son étendue dans le temps ne sont pas subordonnées à une violation de l’obligation de renseigner. Il s’agit en effet simplement de rétablir l’ordre légal après la découverte d’un fait nouveau (ATF 122 V 134 ).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w:t>
      </w:r>
    </w:p>
    <w:p>
      <w:r>
        <w:rPr>
          <w:b/>
        </w:rPr>
        <w:t>E. 7.2</w:t>
      </w:r>
    </w:p>
    <w:p>
      <w:r>
        <w:t>Au plan cantonal, c’est l'art. 24 al. 1 1 ère phrase LPCC qui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w:t>
      </w:r>
    </w:p>
    <w:p>
      <w:r>
        <w:rPr>
          <w:b/>
        </w:rPr>
        <w:t>E. 7.3</w:t>
      </w:r>
    </w:p>
    <w:p>
      <w:r>
        <w:t>En vertu de l'art. 25 al. 2 1 ère phrase LPGA (dans sa teneur en vigueur à compter du 1 er janvier 2021), le droit de demander la restitution s'éteint trois ans après le moment où l'institution d’assurance a eu connaissance du fait, mais au plus tard cinq ans après le versement de la prestation.![endif]&gt;![if&gt; Jusqu’au 31 décembre 2020, l’art. 25 al. 2 1 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 ère phrase LPGA dans sa teneur en vigueur jusqu’au 31 décembre 2020 qui est applicable dans le cas présent. 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 ![endif]&gt;![if&gt;</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 l'espèce, la question litigieuse est de déterminer si la recourante a bel et bien partagé son logement avec M. B______ durant la période litigieuse, soit du 1 er novembre 2020 au 31 mai 2021, ainsi que peuvent le faire penser les documents transmis à l’intimé par l’OP. ![endif]&gt;![if&gt; La recourante conteste avoir jamais partagé son logement avec M. B______, ce que ce dernier confirme, ainsi que d’autres témoins, tous amis de la recourante. Cette dernière va jusqu’à contester l’authenticité de sa signature, apposée sur les trois quittances de CHF 600.- produites à l’OP. La Cour de céans relèvera nombre d’incohérences dans les propos de la recourante et de M. B______. Ainsi, ce dernier affirme s’être rendu chez sa sœur à sa sortie d’hôpital, fin 2021, alors que sa compagne semble avoir oublié ce fait. On se demande d’ailleurs pour quelles raisons il se serait rendu chez sa sœur plutôt que chez sa compagne. M. B______ dit être titulaire, avec sa compagne, depuis février 2022, d’un bail concernant une maison en France. La date de 2022 semble corroborée par le fait que sa compagne, Mme D______, a quitté officiellement Genève le 16 avril 2022 seulement. Pourtant, le bail produit par la recourante concernant le bien immobilier sis en France a été signé en octobre 2019 déjà. Quant aux allégations de la recourante selon lesquelles elle ne serait pas la signataire des trois reçus fournis à l’OP, elles ne convainquent pas, dans la mesure où la signature apposée sur ces documents est en tous points identique à celle figurant sur sa carte d’identité. Qui plus est, on rappellera qu’à l’époque où ces reçus ont été transmis à l’OP, c’est la recourante elle-même qui représentait M. B______. Elle ne pouvait donc manquer d’en avoir eu connaissance. Il semble probable que lesdites quittances, comme le supposait le représentant de l’intimé en audience, ont été établies afin de servir les intérêts de M. B______ auprès de l’OP. Enfin, ainsi que l’a relevé l’intimé, M. I______ est formellement domicilié chez la recourante et ce, depuis le 1 er janvier 2020, selon le registre de l’OCPM alors, qu’à la question de savoir si elle avait autorisé quelqu’un d’autre que M. B______ à utiliser son adresse, l’intéressée a d’abord répondu avec aplomb par la négative. La recourante semble ainsi faire peu de cas des obligations qui lui incombent de tenir le SPC informé de chaque modification de sa situation, de la responsabilité qui est la sienne lorsqu’elle signe des attestations et de la présomption de véracité attachée aux informations ressortant des registres publics. Il lui incombe de faire preuve d’un peu plus de discernement dans la gestion de ses affaires administratives et de ne pas autoriser tout un chacun à utiliser son adresse s’il n’y loge pas réellement, étant rappelé que l’intéressée a des comptes à rendre au SPC s’agissant du calcul des prestations qui lui sont allouées. Cela étant, il n’en demeure pas moins qu’il est dûment établi par pièces et non contestable qu’en décembre 2020, M. B______ a été hospitalisé en urgence et qu’il l’est resté, aux HUG puis à Beau-Séjour, à tout le moins jusqu’à fin juillet 2021, ce qui recouvre quasiment la période litigieuse. Dans ces conditions, la décision de procéder à un recalcul du droit aux prestations en tenant compte d'un loyer proportionnel de novembre 2020 à mai 2021 au motif que la recourante aurait partagé son logement avec M. B______ durant cette période apparaît injustifiée. La recourante est néanmoins invitée à régulariser sa situation et celle de son beau-fils auprès de l’OCPM, étant rappelé qu’il est loisible à l’intimé de procéder à des enquêtes pour vérifier si sa bénéficiaire partage ou non son logement. Le recours est admis et la décision litigieuse annulée.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