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A/364/2022 vom 15. Dezember 2022</w:t>
      </w:r>
    </w:p>
    <w:p>
      <w:r>
        <w:t>GE Cour de justice, 2022-12-15, FR</w:t>
      </w:r>
    </w:p>
    <w:p>
      <w:r>
        <w:rPr>
          <w:b/>
        </w:rPr>
        <w:t xml:space="preserve">Quelle: </w:t>
      </w:r>
      <w:r>
        <w:t>https://mcp.opencaselaw.ch/entscheid/ge_gerichte_A_364_2022</w:t>
      </w:r>
    </w:p>
    <w:p>
      <w:r>
        <w:t>FR: GE_GERICHTE A/364/2022 du 15 décembre 2022</w:t>
      </w:r>
    </w:p>
    <w:p>
      <w:r>
        <w:t>IT: GE_GERICHTE A/364/2022 del 15 dicembre 2022</w:t>
      </w:r>
    </w:p>
    <w:p>
      <w:pPr>
        <w:pStyle w:val="Heading2"/>
      </w:pPr>
      <w:r>
        <w:t>Erwägungen</w:t>
      </w:r>
    </w:p>
    <w:p>
      <w:r>
        <w:rPr>
          <w:b/>
        </w:rPr>
        <w:t>E. 5</w:t>
      </w:r>
    </w:p>
    <w:p>
      <w:r>
        <w:t>.4 Le dommage survient dès que l’on doit admettre que les cotisations dues ne peuvent plus être recouvrées, pour des motifs juridiques ou de fait (ATF 129 V 193 consid. 2.2 ; ATF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Ce jour marque également celui de la naissance de la créance en réparation et la date à partir de laquelle court le délai de cinq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En cas de faillite, le moment de la connaissance du dommage correspond en règle générale à celui du dépôt de l’état de collocation ou celui de la publication de la suspension de la liquidation de la faillite faute d’actifs (ATF 129 V 193 consid. 2.3).</w:t>
      </w:r>
    </w:p>
    <w:p>
      <w:r>
        <w:rPr>
          <w:b/>
        </w:rPr>
        <w:t>E. 5.1</w:t>
      </w:r>
    </w:p>
    <w:p>
      <w:r>
        <w:t>À titre liminaire, il convient d’examiner si la prétention de l’intimée est prescrite, comme l’allègue le recourant.</w:t>
      </w:r>
    </w:p>
    <w:p>
      <w:r>
        <w:rPr>
          <w:b/>
        </w:rPr>
        <w:t>E. 5.2</w:t>
      </w:r>
    </w:p>
    <w:p>
      <w:r>
        <w:t>Le 1 er janvier 2020 est entrée en vigueur la révision du droit de la prescription de la loi fédérale du 30 mars 1911, complétant le Code civil suisse (CO, Code des obligations - RS 220), entraînant la modification de l’art. 52 al. 3 LAVS avec pour résultat un allongement du délai de prescription relative de deux à trois ans et celui de prescription absolue de cinq à dix ans. Eu égard au principe de droit intertemporel selon lequel les dispositions légales applicables sont celles en vigueur au moment où les faits juridiquement déterminants se sont produits (ATF 130 V 445 consid. 1), c’est la teneur de cette disposition en vigueur jusqu’au 31 décembre 2019 qui est applicable au cas d’espèce.</w:t>
      </w:r>
    </w:p>
    <w:p>
      <w:r>
        <w:rPr>
          <w:b/>
        </w:rPr>
        <w:t>E. 5.3</w:t>
      </w:r>
    </w:p>
    <w:p>
      <w:r>
        <w:t>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que les délais ne sont plus sauvegardés une fois pour toutes avec les décisions relatives aux dommages-intérêts ; le droit à la réparation du dommage au sens de l'art. 52 al. 1 LAVS peut donc aussi se prescrire durant la procédure d'opposition ou la procédure de recours qui s'ensuit (ATF 135 V 74 consid. 4.2).</w:t>
      </w:r>
    </w:p>
    <w:p>
      <w:r>
        <w:rPr>
          <w:b/>
        </w:rPr>
        <w:t>E. 5.5</w:t>
      </w:r>
    </w:p>
    <w:p>
      <w:r>
        <w:t>Tandis que le juge ne peut interrompre la prescription que par une ordonnance ou une décision, « chaque acte judiciaire des parties » suffit à produire cet effet (art. 138 al. 1 CO).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w:t>
      </w:r>
    </w:p>
    <w:p>
      <w:r>
        <w:rPr>
          <w:b/>
        </w:rPr>
        <w:t>E. 6</w:t>
      </w:r>
    </w:p>
    <w:p>
      <w:r>
        <w:t>En l’espèce, la faillite de la société a été prononcée définitivement en date du 16 mars 2017. L’intimée a produit sa créance provisoirement le 8 mai 2017 et définitivement le 31 mai 2019. L’état de collocation prévoyant un dividende de 0% pour les créanciers de 2 ème classe a été déposé le 23 avril 2019.![endif]&gt;![if&gt;</w:t>
      </w:r>
    </w:p>
    <w:p>
      <w:r>
        <w:rPr>
          <w:b/>
        </w:rPr>
        <w:t>E. 6.1</w:t>
      </w:r>
    </w:p>
    <w:p>
      <w:r>
        <w:t>Conformément à la jurisprudence du Tribunal fédéral citée supra , il sied de se fonder sur le moment du prononcé de la faillite pour fixer le dies a quo de la survenance du dommage, soit le 16 mars 2017. Le délai de prescription absolue de cinq ans n’était pas échu au moment où la décision sur opposition du 21 décembre 2021 a été rendue.</w:t>
      </w:r>
    </w:p>
    <w:p>
      <w:r>
        <w:rPr>
          <w:b/>
        </w:rPr>
        <w:t>E. 6.2</w:t>
      </w:r>
    </w:p>
    <w:p>
      <w:r>
        <w:t>S’agissant du délai de prescription relatif de deux ans, l’intimée allègue qu’il a commencé à courir dès le moment du dépôt de l’état de collocation, soit le 23 avril 2019, qui correspond au dies a quo de la connaissance du dommage. Le recourant considère que l’intimée connaissait déjà le montant du dommage au moment de la faillite, en se fondant sur le fait que l’intimée lui avait déjà réclamé, en date du 3 mai 2017, le remboursement du dommage à hauteur de CHF 150’028.93. L’examen objectif de la teneur du courrier du 3 mai 2017 montre qu’il s’agit d’un récapitulatif des cotisations sociales restant dues à la caisse et d’un avertissement quant aux procédures légales qui s’ensuivraient si ce montant devait rester impayé, notamment la possibilité de demander réparation aux administrateurs de la société faillie. Dès lors, il est erroné de déduire de ce courrier que l’intimée connaissait, dès ce moment, le montant de son dommage. Etant rappelé que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En l’absence d’éléments objectifs démontrant que l’intimée connaissait avant le dépôt de l’état de collocation le montant de son dommage, il convient de retenir que le dies a quo du délai relatif de deux ans, correspond à la date du dépôt de l’état de collocation, soit le 23 avril 2019. Comme mentionné supra, tant la décision que l’opposition interrompent le délai de prescription de deux ans et font courir un nouveau délai de même durée (ATF 135 V 74 consid. 4.2.2). Le délai de deux ans a donc été interrompu, une première fois, lorsque la décision du 16 décembre 2019 a été rendue par l’intimé et a été interrompu à nouveau, lors de l’opposition du recourant en date du 28 janvier 2020. La décision sur opposition de réparation du dommage rendue par l’intimée date du 21 décembre 2021, soit moins de deux ans après le dernier acte interruptif de prescription du 28 janvier 2020. Dès lors, ni le délai relatif de deux ans ni le délai absolu de cinq ans ne sont échus.</w:t>
      </w:r>
    </w:p>
    <w:p>
      <w:r>
        <w:rPr>
          <w:b/>
        </w:rPr>
        <w:t>E. 7</w:t>
      </w:r>
    </w:p>
    <w:p>
      <w:r>
        <w:t>L’art. 14 al. 1 LAVS, en corrélation avec les art. 34 ss du règlement sur l’assurance-vieillesse et survivants du 31 octobre 1947 (RAVS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![endif]&gt;![if&gt;</w:t>
      </w:r>
    </w:p>
    <w:p>
      <w:r>
        <w:rPr>
          <w:b/>
        </w:rPr>
        <w:t>E. 8</w:t>
      </w:r>
    </w:p>
    <w:p>
      <w:r>
        <w:t>![endif]&gt;![if&gt;</w:t>
      </w:r>
    </w:p>
    <w:p>
      <w:r>
        <w:rPr>
          <w:b/>
        </w:rPr>
        <w:t>E. 8.1</w:t>
      </w:r>
    </w:p>
    <w:p>
      <w:r>
        <w:t>Selon l’art. 52 al. 1 LAVS, l’employeur qui, intentionnellement ou par négligence grave, n’observe pas des prescriptions et cause ainsi un dommage à l’assurance, est tenu à réparation. L’obligation de l’employeur de percevoir les cotisations et de régler les comptes est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et les références).</w:t>
      </w:r>
    </w:p>
    <w:p>
      <w:r>
        <w:rPr>
          <w:b/>
        </w:rPr>
        <w:t>E. 8.2</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w:t>
      </w:r>
    </w:p>
    <w:p>
      <w:r>
        <w:rPr>
          <w:b/>
        </w:rPr>
        <w:t>E. 8.3</w:t>
      </w:r>
    </w:p>
    <w:p>
      <w:r>
        <w:t>Selon la jurisprudence, si l’employeur est une personne morale, la responsabilité peut s’étendre, à titre subsidiaire, aux organes qui ont agi en son nom, notamment quand la personne morale n’existe plus au moment où la responsabilité est engagée (ATF 123 V 12 consid. 5b ; ATF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10</w:t>
      </w:r>
    </w:p>
    <w:p>
      <w:r>
        <w:t>En l’espèce, à teneur de l’extrait du RC, le recourant avait la qualité d’organe formel de la société, soit administrateur, depuis l’année 2011 jusqu’au prononcé de la faillite.![endif]&gt;![if&gt; Compte tenu de ce qui précède et de sa qualité d’organe formel de la société, le recourant répond, à titre subsidiaire, du dommage causé par l’omission de la société de payer les cotisations sociales. Reste à examiner si les autres conditions de la responsabilité de l’art. 52 al. 1 LAVS sont réalisées.</w:t>
      </w:r>
    </w:p>
    <w:p>
      <w:r>
        <w:rPr>
          <w:b/>
        </w:rPr>
        <w:t>E. 10.1</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arrêts du Tribunal fédéral 9C_344/2011 du 3 février 2012 consid. 4.3 ; 9C_289/2009 du 19 mai 2010 consid. 6.2).</w:t>
      </w:r>
    </w:p>
    <w:p>
      <w:r>
        <w:rPr>
          <w:b/>
        </w:rPr>
        <w:t>E. 10.2</w:t>
      </w:r>
    </w:p>
    <w:p>
      <w:r>
        <w:t>Selon une jurisprudence constante, c'est la démission effective de l'organe qui fixe en principe les limites temporelles de la responsabilité (ATF 123 V 172 consid. 3a ; ATF 112 V 1 consid. 3c p. 4 ; arrêt du Tribunal fédéral 9C_713/2013 du 30 mai 2014 consid. 4.3.2). Un administrateur ne peut alors être tenu pour responsable que du dommage résultant du non-paiement des cotisations qui sont venues à échéance et qui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n'ont déployé leurs effets qu'après le départ du conseil d'administration (ATF 126 V 61 consid. 4a ; arrêt du Tribunal fédéral des assurances H 263/02 du 6 février 2003 consid. 3.2).</w:t>
      </w:r>
    </w:p>
    <w:p>
      <w:r>
        <w:rPr>
          <w:b/>
        </w:rPr>
        <w:t>E. 10.3</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w:t>
      </w:r>
    </w:p>
    <w:p>
      <w:r>
        <w:rPr>
          <w:b/>
        </w:rPr>
        <w:t>E. 11</w:t>
      </w:r>
    </w:p>
    <w:p>
      <w:r>
        <w:t>![endif]&gt;![if&gt;</w:t>
      </w:r>
    </w:p>
    <w:p>
      <w:r>
        <w:rPr>
          <w:b/>
        </w:rPr>
        <w:t>E. 11.1</w:t>
      </w:r>
    </w:p>
    <w:p>
      <w:r>
        <w:t>En l’occurrence, le recourant prétend ne pas être responsable du dommage en raison du fait qu’il ne s’occupait pas du paiement des salaires des employés et ignorait la situation financière difficile de la société, dissimulée par M. D______. Or, il ressort de l’audience de comparution personnelle du 20 octobre 2022 que le recourant avait déjà été plusieurs fois administrateur de start-up, une dizaine à son souvenir, ce qui démontre qu’il avait l’expérience de ce type de situation, ce d’autant plus que le domaine commercial de la société lui était familier en raison de sa formation d’ingénieur. S’y ajoute le fait que la société en question était hébergée dans les locaux de B______ et que le recourant a lui-même reconnu qu’il avait fréquemment des contacts avec M. D______, ce qui implique qu’il avait la possibilité, à tout le moins géographique, de se rendre dans les locaux de ladite société, de consulter les comptes, d’interroger le personnel et d’interpeller M. D______. Il avait également la possibilité de se rendre compte que le personnel avait été licencié dès lors qu’un simple transport sur place lui aurait permis de constater l’absence d’employés. Enfin, contrairement à ce que laisse entendre le recourant, il avait pu se rendre compte, au plus tard, au début de l’année 2015 que les loyers de la société restaient impayés ce qui était un signe indubitable de sa mauvaise santé financière et de la nécessité d’une intervention rapide. Étant précisé que la société avait déjà été interpellée par l’intimée, par courrier du 13 août 2014, lui rappelant le retard dans le paiement des cotisations sociales et mettant en place un échéancier. Il était loisible au recourant, par simple contact téléphonique avec l’intimée, de vérifier, dès la fin de l’année 2014, si l’échéancier mis en place avait été respecté et si les cotisations sociales étaient à jour. Ce d’autant plus que par courrier de rappel du 15 janvier 2015, l’intimée avait interpellé C______ en raison du fait que le montant des échéances convenues n’avait pas été acquitté. Au lieu de cela, le recourant s’est contenté d’interpeller M. D______, par courriel du 28 mai 2015, pour rappeler que le rattrapage des loyers impayés depuis le mois de novembre 2014 n’avait pas été opéré et qu’il n’avait toujours pas reçu les comptes de l’année 2014. C’est, au plus tard, à ce moment que l’administrateur ne pouvait plus nier être au courant de la situation obérée de la société, de même qu’il avait pu constater que les promesses de M. D______, concernant le paiement des loyers en retard, la présentation des comptes et le paiement des arriérés de cotisations sociales, étaient restées lettre morte. En dépit de ces éléments, le recourant allègue s’être enquis, « plusieurs fois par année », « de la marche des affaires de C______ » et « s’est assuré que toutes les cotisations sociales et les impôts à la source étaient payés » (mémoire de recours, ch. 11). Or, il n’en est rien. Le recourant ne s’est pas assuré de la véracité des faits, mais s’est contenté de se fonder sur les affirmations de M. D______ selon lesquelles la situation financière était saine, sans avoir effectué, en personne, le moindre contrôle sur les chiffres, le carnet de commande, le compte de pertes et profits de la société, comme cela ressort des déclarations figurant dans le mémoire de recours, ch. 12. Cette négligence est d’autant plus grave qu’avec sa formation et son expérience au sein de B______, le recourant était probablement à même de lire et de comprendre un bilan et d’en tirer les conséquences financières. Il pouvait aussi choisir de démissionner, s’il estimait ne pas être en mesure d’obtenir les informations ou les moyens nécessaires à l’exercice de son mandat, ce qu’il n’a pas fait. Il s’est contenté des déclarations rassurantes de M. D______, tout en négligeant les indices objectifs, soit le manque de liquidités de la société, notamment illustré par la mise en place d’un plan de paiement des cotisations sociales impayées, avec l’intimée, en août 2014 et les loyers impayés, dès le mois de novembre 2014. Les allégués 13 à 16 du mémoire de recours démontrent que le recourant a, chaque fois, choisi de demander à M. D______ de lui exposer la situation de la société plutôt que d’essayer de s’en rendre compte par lui-même. Ce faisant, il n’a pas exercé son devoir de surveillance, mais s’est contenté de croire aux affirmations de M. D______ ; il a donc gravement négligé ses devoirs d’administrateur en dépit de la présence d’indices objectifs démontrant que les déclarations de M. D______ ne reflétaient pas la réalité.</w:t>
      </w:r>
    </w:p>
    <w:p>
      <w:r>
        <w:rPr>
          <w:b/>
        </w:rPr>
        <w:t>E. 11.2</w:t>
      </w:r>
    </w:p>
    <w:p>
      <w:r>
        <w:t>S’agissant du lien de causalité entre la négligence du recourant et le dommage causé à la société, le bilan au 31 décembre 2015 montre un surendettement de CHF 410'238.10 qui, une année plus tard, au 31 décembre 2016 avait atteint le montant de CHF 903'522.24. Il est établi par les relevés fournis par l’intimée que le montant des acomptes de cotisations sociales impayées réclamées à la société s’élevait, au 1er juin 2015, à CHF 54'000.95 et a, ensuite, continué d’augmenter, faute d’intervention du recourant. Il résulte de ce qui précède que si le recourant avait réagi dès le début du mois de janvier 2015, sur la base des faits qui étaient portés à sa connaissance, il avait encore la possibilité d’agir sur la situation financière de la société et d’éviter, à tout le moins, que le montant des cotisations sociales impayées n’augmente, notamment en procédant, cas échéant, à des licenciements. Ainsi, le dommage causé à l’intimé est notamment imputable au comportement passif de l’administrateur et à sa négligence de prendre la mesure de la situation et d’intervenir de manière énergique.</w:t>
      </w:r>
    </w:p>
    <w:p>
      <w:r>
        <w:rPr>
          <w:b/>
        </w:rPr>
        <w:t>E. 11.3</w:t>
      </w:r>
    </w:p>
    <w:p>
      <w:r>
        <w:t>À l’aune de ce qui précède, il y a lieu de retenir que la négligence grave du recourant, entraîne sa responsabilité dans le remboursement du dommage subi par l’intimée. Étant encore précisé que l’intimée a également notifié une décision en réparation du dommage à l’encontre de M. D______, l’autre administrateur de la société.</w:t>
      </w:r>
    </w:p>
    <w:p>
      <w:r>
        <w:rPr>
          <w:b/>
        </w:rPr>
        <w:t>E. 12</w:t>
      </w:r>
    </w:p>
    <w:p>
      <w:r>
        <w:t>Enfin, il sied de fixer le montant du dommage.![endif]&gt;![if&gt; Le dommage selon l’art. 52 LAVS comprend les cotisations impayées dues selon la LAVS, la loi fédérale sur l’assurance-invalidité du 19 juin 1959 (LAI - RS 831.20 ; art. 66 LAI), la loi fédérale sur les allocations pour perte de gain en cas de service et de maternité du 25 septembre 1952 (LAPG - RS 834.1 ; art. 21 al. 2 LAPG), la loi fédérale sur les allocations familiales dans l’agriculture du 20 juin 1952 (LFA - RS 836.1 ; art. 25 al. LFA), la loi fédérale sur les allocations familiales du 24 mars 2006 (LAFam - RS 836.2 ; art. 25 let. c LAFam), et la loi fédérale sur l’assurance-chômage obligatoire et l’indemnité en cas d’insolvabilité du 25 juin 1982 (LACI - RS 837.0 ; art. 6 LACI).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8016 et 8017). Les éventuelles amendes prononcées par la caisse de compensation ne font pas partie du dommage et doivent le cas échéant être déduites (arrêt du Tribunal fédéral des assurances H 142/03 du 19 août 2003 consid. 5.5).</w:t>
      </w:r>
    </w:p>
    <w:p>
      <w:r>
        <w:rPr>
          <w:b/>
        </w:rPr>
        <w:t>E. 13</w:t>
      </w:r>
    </w:p>
    <w:p>
      <w:r>
        <w:t>En l’espèce, la quotité du dommage subi par la caisse, soit CHF 140'764.90, n’a pas été contestée par le recourant. ![endif]&gt;![if&gt; Il sied de préciser que le montant en question ne comprend pas les cotisations d’assurance maternité, par CHF 710.65, conformément à l’arrêt de principe rendu par la chambre de céans par arrêt du 30 janvier 2020 ( ATAS/79/2020 ) statuant que les cotisations sociales concernant l’assurance maternité genevoise ne sont pas incluses dans le dommage au sens de l’art. 52 LAVS, faute de base légale suffisante. Le montant total des cotisations sociales correspond aux montants produits dans la faillite de la société (production finale du 31 mai 2019). Il en est de même des frais administratifs et de poursuite. Le montant des intérêts moratoires semble en ligne avec celui déjà produit en date du 31 mai 2019 et qui a continué d’augmenter depuis lors et aucun indice ne permet d’en contester l’exactitude. Quant au montant des sommations, le détail est mentionné dans les pièces 6 et 7 fournies par l’intimée dans son chargé.</w:t>
      </w:r>
    </w:p>
    <w:p>
      <w:r>
        <w:rPr>
          <w:b/>
        </w:rPr>
        <w:t>E. 14</w:t>
      </w:r>
    </w:p>
    <w:p>
      <w:r>
        <w:t>Eu égard à ce qui précède, la décision de l’intimée ne prête pas le flanc à la critique et la chambre de céans n’a d’autre choix que de rejeter le recours.![endif]&gt;![if&gt;</w:t>
      </w:r>
    </w:p>
    <w:p>
      <w:r>
        <w:rPr>
          <w:b/>
        </w:rPr>
        <w:t>E. 15</w:t>
      </w:r>
    </w:p>
    <w:p>
      <w:r>
        <w:t>Pour le surplus, en l’absence de loi spéciale prévoyant des frais judiciaires, la procédure est gratuite (art. 61 let. fbis LPGA). ![endif]&gt;![if&gt;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![endif]&gt;![if&gt; La greffière Véronique SERAIN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