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A/3646/2021 vom 30. Mai 2023</w:t>
      </w:r>
    </w:p>
    <w:p>
      <w:r>
        <w:t>GE Cour de justice, 2023-05-30, FR</w:t>
      </w:r>
    </w:p>
    <w:p>
      <w:r>
        <w:rPr>
          <w:b/>
        </w:rPr>
        <w:t xml:space="preserve">Quelle: </w:t>
      </w:r>
      <w:r>
        <w:t>https://mcp.opencaselaw.ch/entscheid/ge_gerichte_A_3646_2021</w:t>
      </w:r>
    </w:p>
    <w:p>
      <w:r>
        <w:t>FR: GE_GERICHTE A/3646/2021 du 30 mai 2023</w:t>
      </w:r>
    </w:p>
    <w:p>
      <w:r>
        <w:t>IT: GE_GERICHTE A/3646/2021 del 30 maggio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 ).</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![endif]&gt;![if&gt;</w:t>
      </w:r>
    </w:p>
    <w:p>
      <w:r>
        <w:rPr>
          <w:b/>
        </w:rPr>
        <w:t>E. 4.1</w:t>
      </w:r>
    </w:p>
    <w:p>
      <w:r>
        <w:t>Aux termes de l'art. 6 LAA, si ladite loi n'en dispose pas autrement, les prestations d'assurance sont allouées en cas d'accident professionnel, d'accident non professionnel et de maladie professionnelle.![endif]&gt;![if&gt;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au moins par suite d'un accident (art. 18 al. 1 LAA), ainsi qu'une indemnité équitable pour atteinte à l'intégrité (IPAI) si l'assuré souffre par suite de l'accident d'une atteinte importante et durable à son intégrité physique, mentale ou psychique (art. 24 al. 1 LAA).</w:t>
      </w:r>
    </w:p>
    <w:p>
      <w:r>
        <w:rPr>
          <w:b/>
        </w:rPr>
        <w:t>E. 4.2</w:t>
      </w:r>
    </w:p>
    <w:p>
      <w:r>
        <w:t>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médecin.![endif]&gt;![if&gt;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 vertu de l'art. 18 LAA, si l’assuré est invalide (art. 8 LPGA) à 10%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 Selon l'art. 24 LAA, si, par suite de l’accident, l’assuré souffre d’une atteinte importante et durable à son intégrité physique, mentale ou psychique, il a droit à une indemnité équitable pour atteinte à l’intégrité (IPAI; al. 1). L’indemnité est fixée en même temps que la rente d’invalidité ou, si l’assuré ne peut prétendre une rente, lorsque le traitement médical est terminé. Le Conseil fédéral peut fixer la naissance du droit à un autre moment dans les cas spéciaux, notamment en cas d’atteinte à la santé liée à l’inhalation de fibres d’amiante (al. 2).</w:t>
      </w:r>
    </w:p>
    <w:p>
      <w:r>
        <w:rPr>
          <w:b/>
        </w:rPr>
        <w:t>E. 4.3</w:t>
      </w:r>
    </w:p>
    <w:p>
      <w:r>
        <w:t>L’art. 19 LAA dispose que le droit à la rente prend naissance dès qu’il n’y a plus lieu d’attendre de la continuation du traitement médical une sensible amélioration de l’état de l’assuré et que les éventuelles mesures de réadaptation de l’AI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2).![endif]&gt;![if&gt; L’art. 19 al. 1 LAA délimite ainsi, du point de vue temporel, le droit aux prestations temporaires que sont les indemnités journalières et la prise en charge du traitement d’une part, et le droit à la rente – et à l’IPAI (art. 24 al. 2 LAA) – d’autre part (arrêts du Tribunal fédéral 8C_320/2019 du 14 avril 2020 consid. 6.1.2 et 8C_687/2014 du 9 septembre 2015 consid. 5.1.2), la suspension des prestations provisoires (indemnités journalières et prise en charge du traitement) et la liquidation du cas avec examen des conditions du droit à la rente et à l’IPAI étant des questions si étroitement liées entre elles qu’il faut partir du principe qu’il s’agit d’un seul objet du litige (ATF 144 V 354 consid. 4.2).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IPAI (ATF 143 V 148 consid. 3.1.1; ATF 134 V 109 consid. 4.1 et les références; arrêt du Tribunal fédéral 8C_39/2020 du 19 juin 2020 consid. 3.2 et les références).</w:t>
      </w:r>
    </w:p>
    <w:p>
      <w:r>
        <w:rPr>
          <w:b/>
        </w:rPr>
        <w:t>E. 4.4</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y compris les conséquences indirectes (ATF 148 V 356 consid. 3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4.5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l'accident.![endif]&gt;![if&gt;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w:t>
      </w:r>
    </w:p>
    <w:p>
      <w:r>
        <w:rPr>
          <w:b/>
        </w:rPr>
        <w:t>E. 4.6</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références).![endif]&gt;![if&gt;</w:t>
      </w:r>
    </w:p>
    <w:p>
      <w:r>
        <w:rPr>
          <w:b/>
        </w:rPr>
        <w:t>E. 4.7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4.7.1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4.7.2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(arrêts du Tribunal fédéral 8C_755/2020 du 19 avril 2021 consid. 3.2 et 9C_369/2008 du 5 mars 2009 consid. 2.2).</w:t>
      </w:r>
    </w:p>
    <w:p>
      <w:r>
        <w:rPr>
          <w:b/>
        </w:rPr>
        <w:t>E. 4.8</w:t>
      </w:r>
    </w:p>
    <w:p>
      <w:r>
        <w:t>![endif]&gt;![if&gt;</w:t>
      </w:r>
    </w:p>
    <w:p>
      <w:r>
        <w:rPr>
          <w:b/>
        </w:rPr>
        <w:t>E. 4.8.1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4.8.2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4.8.3</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3.3).![endif]&gt;![if&gt;</w:t>
      </w:r>
    </w:p>
    <w:p>
      <w:r>
        <w:rPr>
          <w:b/>
        </w:rPr>
        <w:t>E. 4.8.4</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5</w:t>
      </w:r>
    </w:p>
    <w:p>
      <w:r>
        <w:t>![endif]&gt;![if&gt;</w:t>
      </w:r>
    </w:p>
    <w:p>
      <w:r>
        <w:rPr>
          <w:b/>
        </w:rPr>
        <w:t>E. 5.1</w:t>
      </w:r>
    </w:p>
    <w:p>
      <w:r>
        <w:t>En l'espèce, il convient, au préalable, de déterminer l'objet du litige.![endif]&gt;![if&gt; Seuls sont litigieux ici, au regard du recours et des écritures subséquentes du recourant, les questions de la stabilisation ou non de son état de santé (cf. art. 19 al. 1 LAA) et, en cas de réponse positive, de son taux d'invalidité en lien à son éventuel droit à une rente d'invalidité (cf. art. 18 LAA). Ainsi, au vu de la délimitation temporelle entre d'une part le droit au traitement médical et aux indemnités journalières et d'autre part le droit à la rente et à l'IPAI, ainsi que des conclusions du recours, il y aura lieu d'examiner si et quand le cas du recourant a été stabilisé et, si la position de l'intimée sur ce point est confirmée, de se prononcer sur les conclusions de l'assuré relatives à un taux d'invalidité donnant droit à une rente, le taux et le montant de l'IPAI retenus par l'intimée n'étant quant à eux pas contestés par le recourant.</w:t>
      </w:r>
    </w:p>
    <w:p>
      <w:r>
        <w:rPr>
          <w:b/>
        </w:rPr>
        <w:t>E. 5.2</w:t>
      </w:r>
    </w:p>
    <w:p>
      <w:r>
        <w:t>Concernant la première question à résoudre, à savoir celle de savoir si l'intimée, dans sa décision - initiale - du 10 août 2021 confirmée par décision sur opposition du 23 septembre 2021, a à juste titre ou non retenu qu'il n'y avait plus lieu d'attendre de la continuation du traitement médical une sensible amélioration de l'état de l'assuré selon l'art. 19 al. 1 LAA (stabilisation), ces décisions n'indiquent pas expressément le dies a quo de cette stabilisation. Toutefois, dans son rapport du 16 décembre 2021 signé électroniquement le 3 janvier 2022, le Dr I______ a écrit que "le cas de [l'intéressé était] stabilisé depuis juin 2021". Il ressort en outre du "résumé des documents déterminants pour la fixation de la rente" établi le 10 août 2021 par la caisse (mentionnant un "bouclement au 30.06.2021") ainsi que du contenu du recours que celle-là a arrêté le versement des indemnités journalières au 30 juin 2021, ce à la suite du rapport de son médecin d'arrondissement (le Dr I______) le 4 mars 2021. La position de la caisse est donc que le cas était stabilisé après le 30 juin 2021, soit depuis le 1 er juillet 2021.![endif]&gt;![if&gt; Il est par ailleurs incontestable que d'éventuelles mesures de réadaptation de l'AI au sens du même art. 19 al. 1 LAA, qui n'auraient le cas échéant été que celles mises en œuvre lors du séjour à la CRR entre le 4 novembre et le 1 er décembre 2020, avaient en tout état de cause été alors menées à terme.</w:t>
      </w:r>
    </w:p>
    <w:p>
      <w:r>
        <w:rPr>
          <w:b/>
        </w:rPr>
        <w:t>E. 5.3</w:t>
      </w:r>
    </w:p>
    <w:p>
      <w:r>
        <w:t>Lorsque le Dr I______ a examiné le 3 mars 2021 le dossier ainsi que l'assuré (cf. rapport du lendemain), une stabilisation de l'état de santé de celui-ci à cette date et au 30 juin 2021 découlait non seulement des constatations et conclusions du médecin d'arrondissement à la suite de l'examen clinique dudit 3 mars 2021, mais aussi de celles de la CRR, qui attendait dans son rapport du 18 décembre 2020 une stabilisation médicale dans un délai de trois mois, donc d'ici à fin mars 2021 tout au plus, et ne proposait aucune nouvelle intervention chirurgicale, de même que du Dr L______, alors chirurgien orthopédiste traitant, selon son rapport du 19 janvier 2021.![endif]&gt;![if&gt; Par ailleurs, les traitements touchant précisément l'épaule gauche dont l'intéressé a fait état dans son recours, à savoir des infiltrations effectuées par la Dresse J______ et une arthroscopie opératoire, une acromioplastie et une tubéroplastie réalisée par le Dr L______, avaient été terminés bien avant le 3 mars 2021. Enfin, selon un rapport du Dr O______, neurologue FMH, du 23 février 2021 cité dans le rapport du médecin d'arrondissement de la SUVA du 4 mars 2021, l'examen électromyographique réalisé le même 23 février 2021 révélait des neurographies pour le nerf radial, médian et cubital gauche dans les limites de la norme; en particulier, il n'y avait "pas de signes en faveur d'une neuropathie du nerf médian, cubital ni radial gauches ni de signes en faveur d'une radiculopathie lésionnelle dans les muscles examinés dépendant des myotomes C4-C5-C6-C7-C8 à gauche". Ainsi, au 3 mars 2021, une stabilisation de l'état de santé de l'assuré pouvait être prévue pour une date relativement proche, de même que pouvait en principe être retenue, vu le rapport du Dr L______ du 19 janvier 2021, une reprise à 100% dans un travail adapté. À cette même date, les diagnostics pouvant être retenus étaient les suivants: premièrement, une fracture non déplacée de la partie antérieure du trochiter et tendinopathie du supra-épineux avec bursite sous-acromio-deltoïdienne selon la CRR ou "de la grande tubérosité humérus gauche" d'après Dr L______ – fracture peu déplacée de la petite tubérosité gauche sur tendinopathie préalable du supra-épineux (selon le Dr I______); deuxièmement, un cal vicieux de la fracture du trochiter avec conflit sous-acromial de l'épaule gauche d'après la CRR et le Dr L______, non expressément retenu par le médecin d'arrondissement de la SUVA qui a seulement mentionné comme second diagnostic un status post-arthroscopie le 31 janvier 2020.</w:t>
      </w:r>
    </w:p>
    <w:p>
      <w:r>
        <w:rPr>
          <w:b/>
        </w:rPr>
        <w:t>E. 5.4</w:t>
      </w:r>
    </w:p>
    <w:p>
      <w:r>
        <w:t>Cela étant, il convient ci-après d'examiner les autres éléments de fait du dossier, pour la plupart postérieurs au 3 mars 2021, ci-après.![endif]&gt;![if&gt; Malgré la normalité de l'examen électromyographique du 23 février 2021, le Dr O______ a écrit à la fin de ce rapport (du 23 février 2021) ne pas pouvoir exclure "l'éventualité remote d'une atteinte sensitive pré-ganglionnaire donc radiculaire cervicale", raison pour laquelle il proposait de demander une résonnance magnétique cervicale pour s'assurer qu'il n'y ait pas de compression à ce niveau-là. C'est manifestement à la suite de ce questionnement du Dr O______ que le Dr P______, radiologue FMH - au sein du même centre médical que lui -, a réalisé le 15 avril 2021 une IRM cervicale. Dans son rapport du même jour, ce radiologue a mentionné, comme "indications", des "douleurs cervicales irradiant vers l'épaule gauche et l'hémithorax gauche"; dans les "résultats", il a constaté: "Rectitude de la lordose cervicale avec pincement discal débutant en C4-C5, C5-C6 et discopathie circonférentielle à ces deux étages. Intégrité morphologique et du signal de la moelle, analysée jusqu'en D4. Les débords discaux sont circonférentiels harmonieux à l'étage C4-C5, C5-C6 avec absence d'uncarthrose significative. Pas de saillie foraminale discale significative. Absence d'anomalie atloïdo-axoïdienne. Pas de surcharge sous-chondrale articulaire postérieure décelée"; il a conclu à une "rectitude de la lordose cervicale avec pincement discal débutant en C4-C5, C5-C6 et débords discaux circonférentiels harmonieux à ces deux étages prédominant en C5-C6". Un peu moins de cinq mois plus tard, selon un rapport du 2 septembre 2021, le Dr P______ a réalisé le même jour une "infiltration articulaire postérieure et extraforaminale C5-C6, C6-C7 gauche sous CT et Rx"; il a énoncé, sous "indication": "Antécédent opératoire de l'épaule gauche, avec scapulalgie résiduelle et douleur brachiale. Cervicarthrose avec discopathie C4-C5, C5-C6. Irradiation brachiale évoquant une pathologie cervicale mal systématisée (C5?). Scapulalgie postérieure gauche principale et cervicalgies plus modeste. Chiffre EVA défini en pré procédure à" (sic); concernant les résultats de cette infiltration, il y avait un "bloc de la douleur positif pour ses douleurs pectorales gauches et brachiales ainsi que cervicale basse" et un "bloc de la douleur négatif pour ses scapulalgies postérieures irradiant jusqu'au niveau angulaire de l'omoplate". Ces deux rapports du Dr P______ n'apparaissent pas avoir été soumis au médecin d'arrondissement de la SUVA ni pris en compte par cette dernière avant le prononcé de la décision sur opposition querellée. Dans son recours, le recourant reproche à l'intimée de ne pas avoir instruit l'atteinte à la santé mise en lumière par le Dr P______ et a écrit qu'il était prévu qu'il subisse de nouveaux examens dans le courant du mois de novembre 2021, ajoutant être toujours en incapacité totale de travail. Les rapports du Dr P______ ont été analysés dans la réponse de l'intimée. Toutefois, cette analyse de la caisse paraît n'avoir porté que sur l'aspect neurologique, sur la base d'un avis du 25 novembre 2021 du Dr Q______, son médecin-conseil neurologue qui a pour l'essentiel résumé la procédure et les rapports des Drs O______ et P______ et a conclu qu'une atteinte neurologique n'était pas avérée en l'état et que, ni sur le plan de l'anamnèse ni sur celui des examens cliniques et complémentaires, un lien de causalité entre les troubles actuels et l'accident du 20 mars 2019 n'était établi au degré de la vraisemblance prépondérante. Avec sa réplique du 21 février 2022, le recourant a produit un rapport du service de radiologie des HUG du 19 janvier 2022 relatif à un scanner de l'épaule gauche réalisé le même jour, qui concluait à des "stigmates de réinsertion tendineuse sous-scapulaire et probable ténodèse du long biceps : à corréler aux antécédents du patient", à un "doute sur un déplacement des vis résorbables tel que décrit, avec remaniement du trochiter, susceptible de générer un conflit tendineux", ainsi qu'à une "omarthrose débutante classé A2 selon Walsh". Dans son rapport du 16 décembre 2021 signé électroniquement le 3 janvier 2022, le Dr I______ a, concernant les deux rapports du Dr P______ précités, "[rappelé] que les hernies discales, qu'elles soient cervicales ou lombaires, ne [pouvaient] pas avoir été créées par un mécanisme d'hyperflexion/rotation, de plus sans apparition immédiate ou dans un délai très court d'une symptomatologie de la colonne cervicale, avec névralgies cervico-brachiales", ce qui n'avait jamais été décrit dans le cas de l'assuré, en particulier pas durant son séjour stationnaire spécialisé auprès de la CRR; par ailleurs, toujours d'après le médecin d'arrondissement de la caisse, l'électromyogramme n'avait révélé aucune compression foraminale ou sur le fourreau dural ou des formations durales, ce qui contribuait à affirmer l'inexistence d'une compression neurologique créée par un quelconque événement ; "événement d'ailleurs sur le plan biomécanique ne [correspondait] pas à la possibilité de création de toute atteinte anatomique cervicale, en vraisemblance prépondérante"; "de fait, le cas de [l'intéressé était] stabilisé depuis juin 2021. En effet, les discopathies cervicales débutantes en C4-C5 et C5-C6 [n'avaient] aucune influence sur la capacité de travail établie. C'est pourquoi les derniers documents versés au dossier ne [changeaient] pas [ses] considérations concernant l'estimation de l'atteinte à l'intégrité établie le 04.02.2021". Le 1 er juin 2022, le recourant a présenté une "lettre de sortie des soins aigus" rédigée le 23 mai 2022 par les Pr R______ et le Dr S______ du service de chirurgie orthopédique et traumatologie de l'appareil moteur des HUG, faisant état d'une arthroscopie (opération chirurgicale) de l'épaule gauche, du diagnostic de ténosynovite du long chef du biceps, dont la bonne évolution avait permis le retour à domicile de l'intéressé, ainsi que d'un arrêt de travail à 100% du 23 mai au 3 juillet 2022, rapport auquel étaient jointes des copies de radiographies. Le 12 août 2022, l'intimée s'est déterminée et a confirmé sa conclusion de rejet du recours, ce sur la base notamment d'une "appréciation médicale" signée électroniquement le 15 juillet 2022 par le Dr I______ qui se prononçait en particulier sur la "lettre de sortie des soins aigus" du 23 mai 2022 précitée et qui citait notamment des comptes rendus de consultations des 10 mars et 5 avril 2022 du Dr S______, qu'il citait entièrement. Selon le rapport de consultation du Dr S______ du 10 mars 2022, le patient présentait une persistance des douleurs au niveau de son épaule gauche, principalement en latéral, avec des irradiations antérieures et postérieures; à l'anamnèse, il cotait ses douleurs latérales à 6/10 avec une fonction de son épaule évaluée à 50% d'une épaule normale; une antalgie était prescrite; le bilan radiologique standard à disposition retrouvait une morphologie de l'humérus proximal restitué, et un scanner effectué en début d'année - celui du 19 janvier 2022 - retrouvait également de minimes excroissances osseuses sur la zone de réinsertion de coiffe; le Dr S______ proposait de "compléter le bilan par une IRM à la recherche d'une guérison partielle tendineuse dont la clinique [était] évocatrice ce jour". À teneur du rapport du 5 avril 2022 de ce spécialiste FMH en chirurgie orthopédique et traumatologie de l'appareil locomoteur, "l'examen [retrouvait] des signes d'atteinte bicipale avec en particulier une délamination intra-tendineuse associée à une subluxation au niveau de la gouttière"; "[concernant] la réparation de coiffe préalable, elle [était] en situation anatomique avec cependant des artefacts liés au matériel qui ne [permettaient] pas une appréciation complète du degré de guérison"; il y avait une incertitude concernant la guérison complète de la coiffe, de même que concernant "une arthroscopie d'épaule avec ténodèse du long chef du biceps" qui était indiquée en vue d'une guérison complète. Dans son "appréciation médicale" signée électroniquement le 15 juillet 2022, le Dr I______, se référant au rapport du Dr S______ du 5 avril 2022, lequel faisait suite à une IRM du même jour, a, compte tenu de la composante douloureuse liée à la pathologie bicipitale, parlé également d'une incertitude concernant la guérison complète de la coiffe. En fin de ce rapport et relativement à l'arthroscopie de l'épaule gauche réalisée aux HUG le 23 mai 2022, le médecin d'arrondissement de l'intimée a écrit: "L'intervention survient plus d'une année et 2 mois après l'examen clinique final que nous avions réalisé. Rien, sur le plan assécurologique, ne nous permet de nous écarter de la stabilisation, ce qui n'empêche pas que, compte tenu de l'évolution des douleurs, il y a eu ce que le Dr S______ a interprété comme une dégradation ultérieure de la coiffe et en particulier du tendon du biceps avec une inflammation, ce qui peut être pris en charge, une fois le diagnostic posé par le Dr S______, dans le cadre d'une rechute. Si bien que l'opération chirurgicale était justifiée par rapport à ces nouveaux éléments et ce nouveau diagnostic avec, pour les suites, les précautions sur l'attente de résultat, tel que l'avait émis le Dr S______. Il n'y a pas de d'explication claire à la dégradation de ce tendon, comme nous l'avons expliqué précédemment nous ne sommes d'ailleurs pas profondément convaincus de cette dégradation objective compte tenu du diagnostic préopératoire retenu par le Dr S______ et de ses constatations relatées dans le cro (NDR: compte rendu d'opération), au final simple inflammation du tendon du biceps ? Geste chirurgical purement prospectif, certes classique ? Les suites opératoires sur les résultats de cette intervention nous permettront d'en juger. En revanche, ce qui est clair c'est qu'au moment où l'assuré a été vu, pendant ce laps de temps, les explorations et les examens concluaient à une stabilisation après le séjour à la CRR puis après notre examen". Par écriture du 28 septembre 2022, le recourant a critiqué cette appréciation du Dr I______, qui était selon lui confuse et constituait "une addition d'hypothèses sans fondement", et a produit des lettres que la SUVA lui avait adressées les 22 juin et 4 juillet 2022, faisant état d'une rechute annoncée par l'assuré et reconnaissant à ce dernier le droit à des indemnités journalières dès le début de l'incapacité de travail mais au plus tôt le 23 mai 2022. Il a de plus précisé qu'il avait subi l'opération du 23 mai 2022 non à titre prospectif mais parce qu'il avait une mobilisation de l'épaule gauche limitée.</w:t>
      </w:r>
    </w:p>
    <w:p>
      <w:r>
        <w:rPr>
          <w:b/>
        </w:rPr>
        <w:t>E. 5.5</w:t>
      </w:r>
    </w:p>
    <w:p>
      <w:r>
        <w:t>De ces éléments de fait, en particulier médicaux, postérieurs au 3 mars 2021, il y a lieu de relever ce qui suit concernant la question d'une éventuelle stabilisation.![endif]&gt;![if&gt;</w:t>
      </w:r>
    </w:p>
    <w:p>
      <w:r>
        <w:rPr>
          <w:b/>
        </w:rPr>
        <w:t>E. 5.5.1</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(143 V 148 consid. 3.1.1; ATF 134 V 109 consid. 4.3; arrêt du Tribunal fédéral 8C_402/2007 du 23 avril 2008 consid. 5.1.2.1), pas plus que la simple possibilité d'une amélioration (arrêts du Tribunal fédéral 8C_219/2022 du 2 juin 2022 consid. 4.1 et U 244/04 du 20 mai 2005 consid. 3.1 RKUV 2005 Nr. U 557 p. 388). Le terme « sensible » indique donc que l'amélioration espérée par un autre traitement (approprié) au sens de l'art. 10 al. 1 LAA doit être importante (ATF 134 V 109 consid. 4.3 ; arrêts du Tribunal fédéral 8C_219/2022 précité consid. 4.1 et 8C_614/2019 du 29 janvier 2020 consid. 5.2 s., in SVR 2020 UV n° 24 p. 95). Ainsi,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et non sur la base de constatations rétrospectives (arrêts du Tribunal fédéral 8C_219/2022 précité consid. 4.1 et 8C_682/2021 du 13 avril 2022 consid. 5.1).![endif]&gt;![if&gt; Dans ce contexte, l'état de santé de la personne assurée doit être évalué de manière prévisionnelle et non rétrospective (examen prospectif), c'est-à-dire à la lumière des circonstances qui prévalaient au moment de la clôture du cas (arrêts du Tribunal fédéral 8C_142/2017 du 7 septembre 2017 consid. 4, 8C_83/2017 du 11 décembre 2017 consid. 4.3 et 8C_651/2016 du 15 décembre 2016 consid. 4.1; ATAS/716/2022 du 18 août 2022 consid. 7; ATAS/316/2022 du 5 avril 2022 consid. 7.3), en l'occurrence au 30 juin 2021.</w:t>
      </w:r>
    </w:p>
    <w:p>
      <w:r>
        <w:rPr>
          <w:b/>
        </w:rPr>
        <w:t>E. 5.5.2</w:t>
      </w:r>
    </w:p>
    <w:p>
      <w:r>
        <w:t>Dans le cas présent, a été craint, comme simple éventualité, le 23 février 2021 par le neurologue O______ une atteinte au niveau cervical, laquelle pourrait avoir été en partie confirmée le 15 avril 2021 par le radiologue P______, qui évoque un pincement discal débutant en C4-C5, C5-C6 dans le cadre d'un rachis cervical pour le reste normal.![endif]&gt;![if&gt; Certes, il n'est pas exclu que l'infiltration effectuée le 2 septembre 2021 par le Dr P______ ait amené une éventuelle amélioration de l'état de santé du patient en particulier au plan cervical, mais le dossier ne contient aucun élément à ce sujet. Quoi qu'il en soit, au 30 juin 2021, moment déterminant pour examiner à titre prospectif si pouvait être attendue de la continuation d'un traitement médical une sensible amélioration de l’état de l’assuré (art. 19 al. 1 LAA), y compris une augmentation de sa capacité de travail (cf. arrêt du Tribunal fédéral 8C_83/2017 précité consid. 4.3), la seule évocation (le 15 avril 2021) d'un pincement discal débutant en C4-C5, C5-C6 dans le cadre d'un rachis cervical n'était pas suffisante pour mettre en doute la stabilisation du cas retenue le 4 mars 2021 par le médecin d'arrondissement de la SUVA sur la base de son examen de la veille, ni même – au demeurant – pour déduire qu'une infiltration serait utile ou nécessaire en début septembre 2021. Une éventuelle expertise médicale judiciaire ne serait aucunement susceptible de remettre en cause l'admission d'une stabilisation après le 30 juin 2021.</w:t>
      </w:r>
    </w:p>
    <w:p>
      <w:r>
        <w:rPr>
          <w:b/>
        </w:rPr>
        <w:t>E. 5.5.3</w:t>
      </w:r>
    </w:p>
    <w:p>
      <w:r>
        <w:t>C'est donc conformément au droit que l'intimée a mis fin au 30 juin 2021 au versement des indemnités journalières – et au remboursement des frais de traitement – et a fixé, avec effet à partir du lendemain 1 er juillet 2021, l'éventuel droit à une rente d'invalidité et à une IPAI.![endif]&gt;![if&gt;</w:t>
      </w:r>
    </w:p>
    <w:p>
      <w:r>
        <w:rPr>
          <w:b/>
        </w:rPr>
        <w:t>E. 5.6</w:t>
      </w:r>
    </w:p>
    <w:p>
      <w:r>
        <w:t>Il convient donc d'examiner la question litigieuse restante, à savoir celle de l'éventuel droit à une rente d'invalidité.![endif]&gt;![if&gt;</w:t>
      </w:r>
    </w:p>
    <w:p>
      <w:r>
        <w:rPr>
          <w:b/>
        </w:rPr>
        <w:t>E. 5.6.1</w:t>
      </w:r>
    </w:p>
    <w:p>
      <w:r>
        <w:t>En vertu de l'art. 18 LAA, si l’assuré est invalide (art. 8 LPGA) à 10% au moins par suite d’un accident, il a droit à une rente d’invalidité, pour autant que l’accident soit survenu avant l’âge ordinaire de la retraite (al. 1). Le Conseil fédéral règle l’évaluation du degré de l’invalidité dans des cas spéciaux. Il peut à cette occasion déroger à l’art. 16 LPGA (al. 2).![endif]&gt;![if&gt;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 er janvier 2021, la version antérieure indiquant "dans son domaine d'activité" plutôt que "qui entre en considération"). Seules les conséquences de l'atteinte à la santé sont prises en compte pour juger de la présence d'une incapacité de gain. De plus, il n'y a incapacité de gain que si celle-ci n'est pas objectivement surmontable (al. 2, en vigueur dès le 1 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ATF 135 V 297 consid. 5.1 et les références; ATF 134 V 322 consid. 4.1 et les références).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w:t>
      </w:r>
    </w:p>
    <w:p>
      <w:r>
        <w:rPr>
          <w:b/>
        </w:rPr>
        <w:t>E. 5.6.2</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4.2).![endif]&gt;![if&gt; Est dès lors déterminant ici pour trancher la question du droit éventuel à une rente d'invalidité l'état de fait au moment du prononcé de la décision sur opposition querellée le 23 septembre 2021. Il est précisé que le second rapport du Dr P______, du 2 septembre 2021, semble n'avoir été reçu par la SUVA que le 23 septembre 2021, jour du prononcé de sa décision sur opposition, ce qui pourrait expliquer qu'elle ne l'a pas mentionné dans cette décision sur opposition. Rien ne permet néanmoins d'écarter ce rapport médical de l'état de fait présentement pertinent. Pour le reste, il est rappelé que tout effet incapacitant et invalidant d'une atteinte à la santé suppose en droit de l'assurance-accidents un lien de causalité naturelle – et adéquate – avec l'accident en cause, ici celui du 20 mars 2019.</w:t>
      </w:r>
    </w:p>
    <w:p>
      <w:r>
        <w:rPr>
          <w:b/>
        </w:rPr>
        <w:t>E. 5.6.3</w:t>
      </w:r>
    </w:p>
    <w:p>
      <w:r>
        <w:t>Dans sa décision – initiale – du 10 août 2021, confirmée par sa décision sur opposition attaquée, la caisse a, sur la base d'un un résumé du cas ainsi que d'un calcul du taux d'invalidité avec les chiffres de l'ESS, effectué une comparaison des revenu avec pour année de référence 2021, année de naissance du droit éventuel à une rente, et a retenu un revenu sans invalidité ("gain de valide") de CHF 62'972.- sur la base du salaire brut mensuel indiqué par l'employeur dans la "déclaration de sinistre LAA" de CHF 4'844.- multiplié par 13 mais sans indexer ce salaire jusqu'à 2021, et un revenu avec invalidité ("gain d'invalide") de CHF 69'268.- en partant de l'ESS 2018, tableau TA1_tirage_skill_level ("secteur privé, Suisse", publié le 21 avril 2020 par l'OFS et accessible par internet (https://www.bfs.admin.ch/ bfs/fr/home/actualites/quoi-de-neuf.assetdetail.12488213.html), plus précisément du salaire mensuel (pour 40 heures par semaine) pour les hommes sous "total" pour le niveau de compétence 1 (tâches physiques et manuelles simples), c'est-à-dire CHF 5'417.-, qu'elle a annualisé à CHF 65'004.- après l'avoir multiplié par 12, puis augmenté à CHF 67'766.67 pour tenir compte de l"'horaire hebdomadaire normal de travail dans la branche économique" de 41,7 heures, indexé ensuite jusqu'en 2021, d'où une absence complète de perte de gain – taux d'invalidité – susceptible de donner droit à une rente d'invalidité.![endif]&gt;![if&gt; Le recourant ne conteste en tant que tels pas ces montants, si ce n'est que, selon lui, le fait qu'il pourrait obtenir sur la base des calculs de l'intimée un meilleur salaire avec son invalidité que lorsqu'il était en bonne santé conduit à de sérieux doutes quant à la pertinence du salaire effectif pour effectuer la comparaison des revenus. Il reproche principalement, de manière implicite, à la SUVA de ne pas avoir tenu compte d'un abattement par rapport à son revenu d'invalide malgré ses limitations fonctionnelles reconnues par la CRR puis le Dr I______. La pertinence et le bien-fondé de ces griefs de l'intéressé peuvent demeurer indécis, pour les motifs qui suivent.</w:t>
      </w:r>
    </w:p>
    <w:p>
      <w:r>
        <w:rPr>
          <w:b/>
        </w:rPr>
        <w:t>E. 5.6.4</w:t>
      </w:r>
    </w:p>
    <w:p>
      <w:r>
        <w:t>À la lecture du rapport du Dr P______ du 2 septembre 2021 – soit un peu moins de cinq mois après celui du 15 avril 2021 –, il est fait état d'une part d'une scapulalgie résiduelle, soit des douleurs à la scapula – ou omoplate –, d'autre part d'une cervicarthrose avec discopathie C4-C5, C5-C6; une "irradiation brachiale évoquant une pathologie cervicale mal systématisée (C5?)", donc au niveau du bras (muscle brachial), est en outre évoquée.![endif]&gt;![if&gt; Ces rapports révèlent ainsi, de manière très brève et non précise, des problèmes, sous forme notamment de douleurs, dans trois parties du corps autour de l'épaule gauche, c'est-à-dire le rachis cervical, la scapula – ou omoplate – et un muscle du bras. Mais ils n'indiquent rien concernant les causes et le commencement de ces atteintes, si ce n'est qu'une douleur à l'omoplate persiste et qu'une arthrose cervicale irradie peut-être jusqu'au bras en passant par l'épaule. Aucune conclusion quant à une causalité naturelle – et adéquate – de ces atteintes (mentionnées dans ledit rapport du 2 septembre 2021) en lien, même indirect, ne peut être tirée, que ce soit sous l'angle neurologique ou orthopédique, avec l'accident du 20 mars 2019, dont les conséquences directes et immédiates ont été la fracture non déplacée de la partie antérieure du trochiter, la tendinopathie du supra-épineux (liaison entre le muscle et l'os) et la bursite (inflammation de la bourse) sous-acromio-deltoïdienne (auxquelles se serait ajouté en septembre 2019 un cal vicieux de la fracture du trochiter avec conflit sous-acromial de l'épaule gauche). Lesdites atteintes ne portent pas précisément sur les parties de l'épaule gauche qui avaient posé problème et avaient été traitées jusqu'alors et qui se trouvaient aux niveaux de la grande tubérosité (trochiter) de l'humérus ainsi que supra-épineux (tendinopathie) et sous-acromial (bursite sous-acromio-deltoïdienne). Un tel rapport de causalité naturelle – et adéquate – ne peut toutefois en l'état pas être exclu, pas plus qu'une origine uniquement dégénérative (maladive) desdites atteintes. Par ailleurs, l'intéressé a allégué, dans son recours, être en incapacité totale de travail, point que la caisse n'a pas investigué. Les motivations des avis des médecins rattachés à la SUVA après le 4 mars 2021 ainsi que de l'intimée elle-même, à partir du 25 novembre 2021, ne sont pas suffisantes en ce sens qu'elles traitent notamment pas clairement les questions de la capacité ou non de travail de l'assuré et de l'existence ou non d'un lien de causalité naturelle – et adéquate – entre d'une part les atteintes diagnostiquées après le 3 mars 2021 et d'autre part l'accident du 20 mars 2019.</w:t>
      </w:r>
    </w:p>
    <w:p>
      <w:r>
        <w:rPr>
          <w:b/>
        </w:rPr>
        <w:t>E. 5.6.5</w:t>
      </w:r>
    </w:p>
    <w:p>
      <w:r>
        <w:t>Au regard de ce qui précède, il manque des éléments au dossier, non seulement d'ordre médical mais aussi concernant la capacité de travail du recourant, pour trancher les questions d'un éventuel degré d'invalidité et d'un éventuel droit à une rente dès le 1 er juillet 2021 et jusqu'à tout le moins le 22 mai 2022, veille de la rechute admise par courriers de la caisse des 22 juin et 4 juillet 2022.![endif]&gt;![if&gt;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Dans le cas présent, dans la mesure où l'intimée n'a que de manière très limitée examiné les conséquences des différents rapports qu'elle a reçus dès avril 2021 sur les questions d'un éventuel degré d'invalidité et d'un éventuel droit à une rente dès le 1 er juillet 2021, la cause sera renvoyée à celle-là afin qu'elle mette en œuvre toutes les mesures d'instruction nécessaires, le cas échéant si besoin une expertise médicale par un ou des experts indépendants, afin de répondre à ces questions. Il n'est ainsi pas nécessaire à ce stade de se prononcer sur les griefs du recourant relatifs aux revenus sans et avec invalidité à comparer, en lien notamment avec les effets des limitations fonctionnelles sur le revenu d'invalide et le taux éventuel d'abattement (concernant l'abattement, cf. ATF 148 V 174 consid. 6.3 et les références; ATF 135 V 297 consid. 5.2; ATF 134 V 322 consid. 5.2 et les références).</w:t>
      </w:r>
    </w:p>
    <w:p>
      <w:r>
        <w:rPr>
          <w:b/>
        </w:rPr>
        <w:t>E. 5.6.6</w:t>
      </w:r>
    </w:p>
    <w:p>
      <w:r>
        <w:t>L'instruction complémentaire à mettre en œuvre par la SUVA prendra en compte, par économie de procédure, l'évolution de l'état de fait jusqu'au prononcé de la nouvelle décision qui sera rendue, ce non seulement concernant la période à considérer mais également l'éventuelle pertinence, pour l'état de santé de l'intéressé dès juillet 2021, des rapports médicaux produits dans le cadre de la présente procédure de recours.![endif]&gt;![if&gt; À cet égard, il ne peut en l'état pas être exclu que les atteintes ressortant des rapports du Dr P______, notamment celui du 2 septembre 2021, aient éventuellement évolué de telle sorte à ce qu'apparaissent, un peu plus de quatre mois plus tard, les "stigmates de réinsertion tendineuse sous-scapulaire et probable ténodèse du long biceps : à corréler aux antécédents du patient", le "doute sur un déplacement des vis résorbables tel que décrit, avec remaniement du trochiter, susceptible de générer un conflit tendineux" et l'"omarthrose débutante classé A2 selon Walsh" auxquels a conclu le service de radiologie des HUG dans son rapport du 19 janvier 2022, voire à ce qu'apparaissent ensuite les problèmes relevés les 10 mars et 5 avril 2022 par le Dr S______, de même que le 23 mai 2022 par celui-ci et le Pr R______, qui paraissent toucher principalement le long chef du biceps du bras gauche (atteinte bicipale, ténosynovite), en lien avec l'épaule.</w:t>
      </w:r>
    </w:p>
    <w:p>
      <w:r>
        <w:rPr>
          <w:b/>
        </w:rPr>
        <w:t>E. 6</w:t>
      </w:r>
    </w:p>
    <w:p>
      <w:r>
        <w:t>En définitive, le recours sera partiellement admis, la décision sur opposition querellée sera annulée et la cause sera renvoyée à l'intimée pour instruction complémentaire et nouvelle décision, dans le sens des considérants.![endif]&gt;![if&gt;</w:t>
      </w:r>
    </w:p>
    <w:p>
      <w:r>
        <w:rPr>
          <w:b/>
        </w:rPr>
        <w:t>E. 7</w:t>
      </w:r>
    </w:p>
    <w:p>
      <w:r>
        <w:t>Le recourant obtenant pour une part importante gain de cause, une indemnité de CHF 2'000.- lui sera accordée à titre de participation à ses frais et dépens (art. 61 let. g LPGA; art. 6 du règlement sur les frais, émoluments et indemnités en matière administrative du 30 juillet 1986 [RFPA - E 5 10.03]).![endif]&gt;![if&gt;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