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A/3632/2023 vom 2. Januar 2024</w:t>
      </w:r>
    </w:p>
    <w:p>
      <w:r>
        <w:t>GE Cour de justice, 2024-01-02, FR</w:t>
      </w:r>
    </w:p>
    <w:p>
      <w:r>
        <w:rPr>
          <w:b/>
        </w:rPr>
        <w:t xml:space="preserve">Quelle: </w:t>
      </w:r>
      <w:r>
        <w:t>https://mcp.opencaselaw.ch/entscheid/ge_gerichte_A_3632_2023</w:t>
      </w:r>
    </w:p>
    <w:p>
      <w:r>
        <w:t>FR: GE_GERICHTE A/3632/2023 du 2 janvier 2024</w:t>
      </w:r>
    </w:p>
    <w:p>
      <w:r>
        <w:t>IT: GE_GERICHTE A/3632/2023 del 2 gennaio 2024</w:t>
      </w:r>
    </w:p>
    <w:p>
      <w:pPr>
        <w:pStyle w:val="Heading2"/>
      </w:pPr>
      <w:r>
        <w:t>Volltext</w:t>
      </w:r>
    </w:p>
    <w:p>
      <w:r>
        <w:t>Genève Cour de justice (Cour de droit public) Chambre administrative 02.01.2024 A/3632/2023</w:t>
      </w:r>
    </w:p>
    <w:p>
      <w:r>
        <w:t>A/3632/2023 ATA/1/2024 du 02.01.2024 ( MARPU ) , REFUSE RÉPUBLIQUE ET CANTON DE GENÈVE POUVOIR JUDICIAIRE A/3632/2023 - MARPU ATA/1/2024 COUR DE JUSTICE Chambre administrative Décision du 2 janvier 2024 sur effet suspensif dans la cause A______ recourante représentée par Me Guy BRAUN, avocat contre DIRECTION GÉNÉRALE DES FINANCES intimée et B______ intimée représentée par Me François MEMBREZ, avocat Vu, EN FAIT , le recours interjeté le 6 novembre 2023 par A______ (ci‑après : A______) auprès de la chambre administrative de la Cour de justice contre la décision du 23 octobre 2023 de la direction générale des finances, des ressources humaines et des affaires extérieures (ci-après : DGFE), agissant par la Centrale commune d’achats (ci‑après : CCA), attribuant le marché public relatif à la gestion de l’affichage politique à Genève à B______ (ci-après : B______) ; que la décision d’adjudication, adressée à C______, retient que A______ avait été classée en 1 ère position pour le critère 1 « qualité et fiabilité de l’exécution des prestations (tests de répartitions, personnel et moyen dédié à la prestation, etc.) pondération à 54% » et en 2 ème position pour les critères 2 (prix), pondéré à 40%, et 3 (qualité de l’entreprise développement durable, pondéré à 6%) ; B______ avait proposé un prix, hors taxes, de CHF 22.- pour les rubriques K1 et K3 du cahier des charges et de CHF 28.- pour la rubrique K2 ; que A______ expose qu’il y avait trois types d’affichage différents, à savoir l’un visant un affichage sur des emplacements temporaires de 14 jours, l’autre de 28 jours et un troisième sur des emplacements fixes de 14 jours ; qu’elle avait structuré son offre en la rendant particulièrement avantageuse économiquement par rapport au format « 14 jours » ; qu’elle ne pouvait se douter que le pouvoir adjudicateur allait favoriser le format « 28 jours », alors que celui-ci représentait un volume bien inférieur et, donc, une dépense moindre pour l’État ; que la simulation « B », concernant des seules élections au Grand Conseil, était incongrue et purement théorique, alors que l’exercice « A » était représentatif de l’affichage politique ; que lors de l’entretien après adjudication, le tableau des notes lui avait été communiqué ; qu’elle avait alors vu que l’affichage de « 28 jours » était pondéré à 30.77% sur la pondération totale du prix de 40%, alors que la durée de l’affichage représentait un critère diminuant la dépense ; que cette pondération, surprenante, allait à l’encontre du bon sens ; que, d’ailleurs, lors du précédent appel d’offres, sa concurrente avait présenté une offre particulièrement avantageuse pour le format « 14 jours » ; que la pondération des critères I1 à I3, dix fois supérieure aux critères D1 à D11, était également inexplicable ; que la note de 13 attribuée à l’adjudicataire était incompréhensible, l’échelle des notes étant fondée sur un multiple de 3 ; qu’enfin, la formule de notation au cube avait pour effet de surévaluer le critère du prix au détriment de celui de la qualité dont la pondération globale était toutefois privilégiée dans l’appel d’offres ; qu’elle se plaignait ainsi d’une violation du principe de la transparence et de l’interdiction de l’arbitraire ; que la méthode de notation asymptotique n’aurait pas dû être choisie car elle désavantageait les offres proposant une excellente qualité pour un prix proche de celui de l’offre la plus basse ; qu’elle a conclu, à titre préalable, à l’octroi de l’effet suspensif, au prononcé de l’interdiction de conclure le contrat d’exécution de l’offre jusqu’à droit jugé sur effet suspensif et à l’apport de l’offre soumise par B______ ; que, principalement, elle a conclu à l’annulation de la décision d’adjudication et à l’attribution du marché public ; que, se déterminant sur effet suspensif, la CCA a relevé qu’elle venait d’apprendre que A______, à la suite de la fusion avec C______, avait repris un excédent de passif de CHF 15'261'000.- ; que cette dernière avait soumissionné, mais avait été radiée le 29 septembre 2023 ; que l’ensemble de la documentation soumise, y compris les attestations nécessaires, avait été établi au nom de C______ ; que les simulations à réaliser concernaient une votation fédérale et une élection au Grand Conseil et visaient à s’assurer que le soumissionnaire ait compris le marché ; que C______ n’avait pas retiré le pli recommandé contenant la décision querellée, qui avait été retourné à la CCA ; que celle-ci le lui avait adressé, pour information, par courrier simple ; que les griefs invoqués étaient tardifs, car ils auraient dû être soulevés contre l’appel d’offres ; que A______ n’avait pas la qualité pour recourir ; qu’en outre, elle n’avait pas informé de la fusion ni produit les attestations nécessaires, ne remplissant pas les conditions de participation ; qu’enfin, l’adjudicataire avait proposé un prix total de CHF 72.- (CHF 22.- + CHF 28.- + CHF 22.-), alors que celui de la recourante se montait à CHF 77.- (CHF 19.- + CHF 38.- + CHF 20.-) ; que les chances de succès du recours étaient faibles et l’intérêt public à pouvoir assurer la prestation en jeu s’opposait à l’octroi de l’effet suspensif ; que B______ a également conclu au rejet de la requête d’effet suspensif ; qu’elle a produit, notamment, l’évaluation de son offre ; qu’il existait un intérêt public prépondérant à l’exécution du contrat ; que le pouvoir adjudicateur n’avait pas à communiquer les sous‑critères de pondération du prix ; que l’exercice de simulation n’avait pas pour but de « construire » un dossier d’offres, mais de s’assurer que la prestation attendue était bien comprise ; que, répliquant sur effet suspensif, la recourante a relevé qu’elle n’aurait pas pu recourir contre l’appel d’offres, les critères litigieux de pondération n’y figurant pas ; que C______ avait été absorbée le 29 septembre 2023 par elle, ce qui n’avait toutefois été publié que le 4 octobre 2022 ; qu’ainsi, au moment de sa soumission, le 29 septembre 2023, la société existait encore ; que A______ avait repris l’ensemble des actifs et passifs de C______, de sorte qu’elle remplissait les critères d’aptitude ; que cette société avait clairement annoncé la fusion par absorption à venir, de sorte que si cela posait problème, l’autorité intimée aurait pu demander des clarifications ; que vu les chances de succès du recours et l’intérêt public à éviter que l’exécution d’un marché public vicié commence, l’effet suspensif devait être prononcé ; que, sur ce, les parties ont été informées que la cause était gardée à juger ; Considérant, EN DROIT , qu’interjeté en temps utile devant l'autorité compétente, le recours est, a priori, recevable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la présidente ou la vice-présidente de la chambre administrative ou, en cas d'empêchement de ceux-ci, par une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ATA/987/2021 du 24 septembre 2021 ; ATA/217/2021 du 1 er mars 2021 consid. 2 ; ATA/1349/2019 du 9 septembre 2019) ; que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l'AIMP a pour objectif l'ouverture des marchés publics (art. 1 al. 1 AIMP) ; qu’il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le principe de la transparence n'exige pas, en principe, la communication préalable de sous-critères ou de catégories qui tendent uniquement à concrétiser le critère publié (ATF 143 II 553 consid. 7.7) ; qu’une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 (ATF 130 I 240 consid. 5.1; arrêt du Tribunal fédéral 2D_1/2021 du 8 mars 2021 consid. 5.3) ; que selon l’art. 43 RMP, l'évaluation des offres est faite selon les critères prédéfinis conformément à l'art. 24 RMP et énumérés dans l'avis d'appel d’offres et/ou les documents d'appel d’offres (al. 1) ; que le résultat de l'évaluation des offres fait l'objet d'un tableau comparatif (al. 2) ; que le marché est adjugé au soumissionnaire ayant déposé l'offre économiquement la plus avantageuse, c'est-à-dire celle qui présente le meilleur rapport qualité/prix ; qu’outre le prix, les critères suivants peuvent notamment être pris en considération : la qualité, les délais, l'adéquation aux besoins, le service après-vente, l'esthétique, l'organisation, le respect de l'environnement (al. 3)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 qu’en l’espèce, la recourante, qui a absorbé par fusion C______, entité qui avait soumissionné, a repris les droits et obligations de celle-ci dès l’inscription au registre du commerce le 4 octobre 2023 (art. 22 de la loi fédérale sur la fusion, la scission, la transformation et le transfert de patrimoine du 3 octobre 2003 - LFus) ; qu’il apparaît ainsi, prima facie , qu’elle a la qualité pour recourir ; que compte tenu de la publication sur le site simap.ch le 27 octobre 2023 de l’adjudication, le recours, expédié le 6 novembre 2023, a été formé dans le délai légal de dix jours (art. 15 al. 2 AIMP) ; qu’en tant que la recourante se plaint de la pondération des différents critères, notamment ceux relatifs au prix, il convient de relever, comme exposé ci-avant, que l’autorité adjudicatrice dispose à cet égard d’un large pouvoir d’appréciation ; que, s’il est exact que la recourante ne pouvait contester les sous-critères lors de l’appel d’offres puisqu’ils n’étaient pas publiés, il n’en demeure pas moins qu’il n’apparaît pas, avec une vraisemblance suffisante pour justifier l’octroi de l’effet suspensif, que la méthode d’évaluation du prix choisie ainsi que la pondération retenue relèveraient de l’arbitraire ; que la CCA a exposé les motifs l’ayant conduite à demander deux simulations, à savoir s’assurer que le mandat confié par le marché public soit bien compris, et qu’il ne peut, au stade de l’examen prima facie , être conclu qu’elle entendait au travers de ces deux simulations exprimer l’importance qu’elle accorderait au différent type d’affichage politique, y compris leur durée ; qu’il en va, prima facie et sans préjudice de l’examen au fond, de même des critères I1 à I3, dont la recourante critique le coefficient de 10 attribué par la CCA ; que, par ailleurs, les 13 points retenus pour le critère « qualité de l’entreprise » s’expliquent, prima facie , par l’addition des points obtenus pour les critères ressortant des annexes 4 (4 points) et 5 (9 points), de sorte que le caractère arbitraire de cette note n’est, de prime abord, pas rendu vraisemblable ; que vu de ce qui précède, les chances de succès du recours n’apparaissent pas à ce point vraisemblables qu’elles justifieraient l’octroi de l’effet suspensif ; que la requête sera ainsi rejetée : qu’il sera statué ultérieurement sur les frais de la présente décision. LA CHAMBRE ADMINISTRATIVE rejette la requête d’effet suspensif au recours ; réserve le sort des frais de la présente décision avec la décision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Guy BRAUN, avocat de la recourante, à Me François MEMBREZ, avocat de l'intimée, à la direction générale des finances ainsi qu’à la Commission de la concurrence.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