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A/3630/2023 vom 24. November 2006</w:t>
      </w:r>
    </w:p>
    <w:p>
      <w:r>
        <w:t>GE Cour de justice, 2006-11-24, FR</w:t>
      </w:r>
    </w:p>
    <w:p>
      <w:r>
        <w:rPr>
          <w:b/>
        </w:rPr>
        <w:t xml:space="preserve">Quelle: </w:t>
      </w:r>
      <w:r>
        <w:t>https://mcp.opencaselaw.ch/entscheid/ge_gerichte_A_3630_2023</w:t>
      </w:r>
    </w:p>
    <w:p>
      <w:r>
        <w:t>FR: GE_GERICHTE A/3630/2023 du 24 novembre 2006</w:t>
      </w:r>
    </w:p>
    <w:p>
      <w:r>
        <w:t>IT: GE_GERICHTE A/3630/2023 del 24 novembre 2006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2023, la demande de prestations ayant été déposée en septembre 2022 (art. 28 al. 1 let. b et 29 al. 1 LAI), de sorte que les dispositions légales applicables seront citées dans leur nouvelle teneur.</w:t>
      </w:r>
    </w:p>
    <w:p>
      <w:r>
        <w:rPr>
          <w:b/>
        </w:rPr>
        <w:t>E. 1.3</w:t>
      </w:r>
    </w:p>
    <w:p>
      <w:r>
        <w:t>Interjeté en temps utile, le recours est recevable (art. 60 LPGA).</w:t>
      </w:r>
    </w:p>
    <w:p>
      <w:r>
        <w:rPr>
          <w:b/>
        </w:rPr>
        <w:t>E. 2</w:t>
      </w:r>
    </w:p>
    <w:p>
      <w:r>
        <w:t>Le litige porte sur le droit du recourant à une rente d’invalidité, singulièrement sur l’évaluation de sa capacité de travail et la question de l’aggravation de son état de santé depuis la dernière décision de l’intimé du 25 juillet 2019.</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 au moins (art. 28 al. 1 LAI). Une rente n'est pas octroyée tant que toutes les possibilités de réadaptation au sens de l'art. 8 al. 1 bis et 1 ter n'ont pas été épuisées (art. 28 al. 1 bis LAI).</w:t>
      </w:r>
    </w:p>
    <w:p>
      <w:r>
        <w:rPr>
          <w:b/>
        </w:rPr>
        <w:t>E. 3.2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3.2.1</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3.2.2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3.4</w:t>
      </w:r>
    </w:p>
    <w:p>
      <w:r>
        <w:t>Lorsque l’administration entre en matière sur une nouvelle demande, après avoir nié le droit à une prestation (art. 87 al. 3 RAI), l’examen matériel doit être effectué de manière analogue à celui d'un cas de révision au sens de l'art. 17 al. 1 LPGA (ATF 141 V 585 consid. 5.3 et les références ;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4.1</w:t>
      </w:r>
    </w:p>
    <w:p>
      <w:r>
        <w:t>Avec répercussion sur la capacité de travail 4.1.1   Dates d'apparition</w:t>
      </w:r>
    </w:p>
    <w:p>
      <w:r>
        <w:rPr>
          <w:b/>
        </w:rPr>
        <w:t>E. 4.2</w:t>
      </w:r>
    </w:p>
    <w:p>
      <w:r>
        <w:t>Sans répercussion sur la capacité de travail 4.1.2   Dates d'apparition 4.2         Quel est le degré de gravité de chacun des troubles diagnostiqués (faible, moyen, grave) ? 4.3         Les atteintes et les plaintes de la personne expertisée correspondent-elles à un substrat organique objectivable ? 4.4         L’état de santé de la personne expertisée s’est-il amélioré/détérioré depuis le 25 juillet 2019 ? Si oui, de quelle manière ? 4.5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Dans l’affirmative, considérez-vous que cela suffise à exclure une atteinte à la santé significative ? 4.6         Est-ce que le tableau clinique est cohérent, compte tenu du ou des diagnostic(s) retenu(s) ou y a-t-il des atypies ? 4.7         Est-ce que ce qui est connu de l’évolution correspond à ce qui est attendu pour le ou les diagnostic(s) retenu(s) ? 4.8         Les douleurs chroniques dont se plaint la personne expertisée ont-elles été majorées par la cessation de la prise d’alcool en 2022 ? Veuillez motiver votre réponse</w:t>
      </w:r>
    </w:p>
    <w:p>
      <w:r>
        <w:rPr>
          <w:b/>
        </w:rPr>
        <w:t>E. 4.3</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5</w:t>
      </w:r>
    </w:p>
    <w:p>
      <w:r>
        <w:t>Limitations fonctionnelles 5.1         Indiquer les limitations fonctionnelles en relation avec chaque diagnostic 5.1.1   Dates d’apparition 5.2         Les plaintes sont-elles objectivées ?</w:t>
      </w:r>
    </w:p>
    <w:p>
      <w:r>
        <w:rPr>
          <w:b/>
        </w:rPr>
        <w:t>E. 6</w:t>
      </w:r>
    </w:p>
    <w:p>
      <w:r>
        <w:t>Capacité de travail 6.1         Dater la survenance de l’incapacité de travail durable dans l’activité habituelle, indiquer son taux et détailler l’évolution de ce taux. 6.2         La personne expertisée est-elle capable d’exercer une activité lucrative adaptée à ses limitations fonctionnelles ? 6.2.1   Si non, ou seulement partiellement, pourquoi ? Quelles sont les limitations fonctionnelles qui entrent en ligne de compte ? 6.2.2   Si oui, quel est le domaine d’activité lucrative adaptée ? À quel taux ? Depuis quelle date ? 6.2.3   Dire s'il y a une diminution de rendement et la chiffrer. 6.3         Comment la capacité de travail de la personne expertisée a-t-elle évolué depuis le 25 juillet 2019 ? 6.4         Des mesures médicales sont-elles nécessaires préalablement à la reprise d’une activité lucrative ? Si oui, lesquelles ? 6.5         Quel est votre pronostic quant à l’exigibilité de la reprise d’une activité lucrative ?</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7.4         Les médicaments pris régulièrement par la personne expertisée induisent-ils des effets secondaires ? Si oui, lesquels ? 7.5         Ces effets ont-ils un impact sur les capacités fonctionnelles de la personne expertisée ? Si oui, dans quelles mesures ?</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Appréciation d'avis médicaux du dossier 8.1         Êtes-vous d'accord avec les avis du SMR des 24 avril 2019, 15 août et 21 septembre 2023 ? En particulier avec les diagnostics posés, les limitations fonctionnelles constatées et l’estimation d’une capacité de travail dans une activité adaptée de 75% ? Si non, pourquoi ? 8.2         Êtes-vous d'accord avec les avis de la Dre H______ du 18 septembre 2023 et 10 juin 2024 ? En particulier avec les diagnostics posés, les limitations fonctionnelles constatées et l’estimation d’une capacité de travail nulle dans toute activité (hormis en atelier protégé pour un taux de 40%) ? Si non, pourquoi ? 8.3         Êtes-vous en particulier d’accord avec l’avis de la Dre H______ du 10 juin 2024, selon qui les douleurs chroniques mécaniques d’origine dégénérative de la personne expertise pourraient être majorées par les séquelles d’un alcoolisme chronique interrompu en 2022 ? Si non, pourquoi ?</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9</w:t>
      </w:r>
    </w:p>
    <w:p>
      <w:r>
        <w:t>Quel est le pronostic ?</w:t>
      </w:r>
    </w:p>
    <w:p>
      <w:r>
        <w:rPr>
          <w:b/>
        </w:rPr>
        <w:t>E. 9.1</w:t>
      </w:r>
    </w:p>
    <w:p>
      <w:r>
        <w:t>La personne expertisée est-elle capable d’exercer une activité lucrative adaptée à ses limitations fonctionnelles ?</w:t>
      </w:r>
    </w:p>
    <w:p>
      <w:r>
        <w:rPr>
          <w:b/>
        </w:rPr>
        <w:t>E. 9.1.1</w:t>
      </w:r>
    </w:p>
    <w:p>
      <w:r>
        <w:t>Si non, ou dans une mesure restreinte, pour quels motifs ? Quelles sont les limitations fonctionnelles qui entrent en ligne de compte ?</w:t>
      </w:r>
    </w:p>
    <w:p>
      <w:r>
        <w:rPr>
          <w:b/>
        </w:rPr>
        <w:t>E. 9.1.2</w:t>
      </w:r>
    </w:p>
    <w:p>
      <w:r>
        <w:t>Si oui, quel est le domaine d’activité lucrative adaptée ? À quel taux ? Depuis quelle date ?</w:t>
      </w:r>
    </w:p>
    <w:p>
      <w:r>
        <w:rPr>
          <w:b/>
        </w:rPr>
        <w:t>E. 9.1.3</w:t>
      </w:r>
    </w:p>
    <w:p>
      <w:r>
        <w:t>Dire s’il y a une diminution de rendement et la chiffrer.</w:t>
      </w:r>
    </w:p>
    <w:p>
      <w:r>
        <w:rPr>
          <w:b/>
        </w:rPr>
        <w:t>E. 9.2</w:t>
      </w:r>
    </w:p>
    <w:p>
      <w:r>
        <w:t>Comment la capacité de travail de la personne expertisée a-t-elle évolué depuis le 25 juillet 2019 ?</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 10. Traitement</w:t>
      </w:r>
    </w:p>
    <w:p>
      <w:r>
        <w:rPr>
          <w:b/>
        </w:rPr>
        <w:t>E. 10</w:t>
      </w:r>
    </w:p>
    <w:p>
      <w:r>
        <w:t>Des mesures de réadaptation professionnelle sont-elles envisageables ?</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du SMR des 24 avril 2019, 15 août et 21 septembre 2023 ? En particulier avec les diagnostics posés, les limitations fonctionnelles constatées et l'estimation d'une capacité de travail du point de vue psychiatrique, totale depuis mars 2019 ? Si non, pourquoi ?</w:t>
      </w:r>
    </w:p>
    <w:p>
      <w:r>
        <w:rPr>
          <w:b/>
        </w:rPr>
        <w:t>E. 11.2</w:t>
      </w:r>
    </w:p>
    <w:p>
      <w:r>
        <w:t>Êtes-vous d’accord avec l’expertise du Dr L______ du 10 avril 2019 ? En particulier avec les diagnostics posés, les limitations fonctionnelles constatées et l’estimation d’une capacité de travail de 100% après abstinence à l’alcool d’au moins six mois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     Invite l’experte à faire une appréciation consensuelle du cas avec le Dr R______ s’agissant de toutes les problématiques ayant des interférences entre elles, notamment l’appréciation de la capacité de travail résiduelle et une éventuelle baisse de rendement. J.     Invite l’experte à déposer, dans les meilleurs délais , un rapport en trois exemplaires auprès de la chambre de céans. II. Réserve le fond ainsi que le sort des frais jusqu’à droit jugé au fond. La greffière Adriana MALANGA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