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A/3629/2021 vom 13. Juni 2022</w:t>
      </w:r>
    </w:p>
    <w:p>
      <w:r>
        <w:t>GE Cour de justice, 2022-06-13, FR</w:t>
      </w:r>
    </w:p>
    <w:p>
      <w:r>
        <w:rPr>
          <w:b/>
        </w:rPr>
        <w:t xml:space="preserve">Quelle: </w:t>
      </w:r>
      <w:r>
        <w:t>https://mcp.opencaselaw.ch/entscheid/ge_gerichte_A_3629_2021</w:t>
      </w:r>
    </w:p>
    <w:p>
      <w:r>
        <w:t>FR: GE_GERICHTE A/3629/2021 du 13 juin 2022</w:t>
      </w:r>
    </w:p>
    <w:p>
      <w:r>
        <w:t>IT: GE_GERICHTE A/3629/2021 del 13 giugno 2022</w:t>
      </w:r>
    </w:p>
    <w:p>
      <w:pPr>
        <w:pStyle w:val="Heading2"/>
      </w:pPr>
      <w:r>
        <w:t>Erwägungen</w:t>
      </w:r>
    </w:p>
    <w:p>
      <w:r>
        <w:rPr>
          <w:b/>
        </w:rPr>
        <w:t>E. 1</w:t>
      </w:r>
    </w:p>
    <w:p>
      <w:r>
        <w:t>![endif]&gt;![if&gt;</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(LPCC - J 4 25) concernant les prestations complémentaires familiales au sens de l’art. 36A LPCC en vigueur dès le 1 er novembre 2012.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loi fédérale sur la partie générale du droit des assurances sociales du 6 octobre 2000 (LPGA - RS 830). Interjeté dans les forme et délai légaux, le recours est recevable (art. 43 LPCC et 89B de la loi sur la procédure administrative du 12 septembre 1985 ; LPA - E 5 10).</w:t>
      </w:r>
    </w:p>
    <w:p>
      <w:r>
        <w:rPr>
          <w:b/>
        </w:rPr>
        <w:t>E. 2</w:t>
      </w:r>
    </w:p>
    <w:p>
      <w:r>
        <w:t>Le litige porte sur la question de savoir si la recourante peut bénéficier d’une remise de l’obligation de restituer la somme de CHF 1'449.-. ![endif]&gt;![if&gt;</w:t>
      </w:r>
    </w:p>
    <w:p>
      <w:r>
        <w:rPr>
          <w:b/>
        </w:rPr>
        <w:t>E. 2.1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2.2</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 arrêt du Tribunal fédéral 9C_678/2011 du 4 janvier 2012 consid. 5.1.1 et 5.2). Le délai de trente jours prévu par l’art. 4 al. 4 OPGA pour le dépôt de la demande de remise est un délai d’ordre et non un délai de péremption (ATF 132 V 42 consid. 3).</w:t>
      </w:r>
    </w:p>
    <w:p>
      <w:r>
        <w:rPr>
          <w:b/>
        </w:rPr>
        <w:t>E. 3</w:t>
      </w:r>
    </w:p>
    <w:p>
      <w:r>
        <w:t>![endif]&gt;![if&gt;</w:t>
      </w:r>
    </w:p>
    <w:p>
      <w:r>
        <w:rPr>
          <w:b/>
        </w:rPr>
        <w:t>E. 3.1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3.2</w:t>
      </w:r>
    </w:p>
    <w:p>
      <w:r>
        <w:t>La réalisation de la condition de la bonne foi, présumée en règle générale (art. 3 du Code civil suisse, du 10 décembre 1907 - CC - RS 210),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3.3</w:t>
      </w:r>
    </w:p>
    <w:p>
      <w:r>
        <w:t>Les directives concernant les prestations complémentaires à l'assurance-vieillesse et survivants et à l'assurance-invalidité (ci-après : DPC), valables dès le 1 er avril 2011 (état au 1 er janvier 2021),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 Commet une négligence grave celui qui, lors de la demande de prestations, de l’examen des conditions du droit ou du paiement de la PC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calculs des PC, n’annonce pas une erreur de calculs qu’elle aurait facilement pu reconnaître (DPC n° 4652.03).</w:t>
      </w:r>
    </w:p>
    <w:p>
      <w:r>
        <w:rPr>
          <w:b/>
        </w:rPr>
        <w:t>E. 3.4</w:t>
      </w:r>
    </w:p>
    <w:p>
      <w:r>
        <w:t>L'art. 16c al. 1 de l’ordonnance sur les prestations complémentaires à l’assurance-vieillesse, survivants et invalidité, du 15 janvier 1971 (OPC-AVS/AI - RS 831.301), qui prévoit le partage du loyer lorsque des appartements ou des maisons familiales sont aussi occupés par des personnes non comprises dans le calcul des PC, ne fait pas directement référence à la notion de domicile au sens du droit civil. Par l'emploi du terme « occupés » (en allemand : « bewohnt » ; en italien : « occupati »), le Conseil fédéral a manifestement voulu se fonder sur la situation concrète de la personne concernée. Dans les faits, cela implique que cette dernière habite effectivement à la même adresse que la personne bénéficiaire des PC. Dans ces circonstances, le dépôt de papiers ou le domicile fiscal, comme indices formels, ne peuvent créer qu'une présomption de fait que d'autres indices peuvent permettre de renverser (arrêt du Tribunal fédéral 9C_807/2009 du 24 mars 2010 consid. 3.4 et la référence).</w:t>
      </w:r>
    </w:p>
    <w:p>
      <w:r>
        <w:rPr>
          <w:b/>
        </w:rPr>
        <w:t>E. 3.5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w:t>
      </w:r>
    </w:p>
    <w:p>
      <w:r>
        <w:t>En l’espèce, la recourante a reçu chaque année depuis le 1 er octobre 2014, en annexe à la décision d’octroi de PC, le calcul détaillé sur la base duquel était établi son droit, notamment les revenus et charges pris en compte, ainsi qu’un document intitulé « communication importante » rappelant l’obligation de signaler tous changements intervenus dans la situation financière et invitant notamment « à contrôler attentivement » (mis en évidence dans le document lui-même) les montants figurant dans la décision la plus récente afin de s’assurer qu’ils correspondent bien à la situation réelle.![endif]&gt;![if&gt; Malgré ces informations, elle n'a informé l'intimé d'aucun changement dans sa situation jusqu'à la fin du mois de février 2021, au moment où son mari s'est vu notifier l'ordonnance du TPAE prononçant le placement de sa belle-fille au domicile familial, alors même que cette dernière vivait chez eux – selon ses dires en audience – depuis le décès de sa mère en juin 2018. Depuis cette date, la recourante qui avait pourtant reçu chaque année le rappel de ses obligations et qui, tenue de vérifier les calculs menant à l'octroi de prestations, pouvait constater le nombre de personnes prises en compte dans le cadre du loyer et donc que la présence de sa belle-fille était omise alors même qu'elle vivait avec eux, aurait dû attirer l'attention de l'intimé sur cet aspect. L'annonce qu'elle dit avoir faite au guichet du SPC en juin 2018, qui n'a fait l'objet d'aucune trace écrite, ne lui est d'aucun secours, puisqu'en constatant l'absence de prise en compte de cette information dans le calcul de ses prestations, il lui appartenait d'en faire part formellement à l'intimé. Par ailleurs, l'hébergement de sa belle-fille ayant une influence sur ses propres prestations, elle ne peut se targuer d'une éventuelle inaction du SPMi, dans son mandat de tutelle provisoire, le devoir de communiquer toute modification lui revenant. Enfin, la recourante ne saurait être suivie lorsqu'elle soutient avoir attendu la réception d'une décision officielle pour la transmettre à l'intimé, qui ne se baserait que sur des documents officiels puisque la simple lecture des courriers de rappels des devoirs (tel celui du 9 décembre 2020) permet de constater que toute information susceptible d'aboutir à une modification du calcul des prestations doit être transmise sans délai. Au vu de ces éléments, la bonne foi de la recourante doit être niée. La remise de l’obligation de restituer ne pouvant être accordée que si les deux conditions cumulatives de la bonne foi et de la situation financière difficile sont réalisées, il n’y a pas lieu d’analyser la deuxième condition.</w:t>
      </w:r>
    </w:p>
    <w:p>
      <w:r>
        <w:rPr>
          <w:b/>
        </w:rPr>
        <w:t>E. 5</w:t>
      </w:r>
    </w:p>
    <w:p>
      <w:r>
        <w:t>Au vu de ce qui précède, le recours est rejeté. ![endif]&gt;![if&gt;</w:t>
      </w:r>
    </w:p>
    <w:p>
      <w:r>
        <w:rPr>
          <w:b/>
        </w:rPr>
        <w:t>E. 6</w:t>
      </w:r>
    </w:p>
    <w:p>
      <w:r>
        <w:t>Pour le surplus,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