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A/3626/2014 vom 23. März 2015</w:t>
      </w:r>
    </w:p>
    <w:p>
      <w:r>
        <w:t>GE Cour de justice, 2015-03-23, FR</w:t>
      </w:r>
    </w:p>
    <w:p>
      <w:r>
        <w:rPr>
          <w:b/>
        </w:rPr>
        <w:t xml:space="preserve">Quelle: </w:t>
      </w:r>
      <w:r>
        <w:t>https://mcp.opencaselaw.ch/entscheid/ge_gerichte_A_3626_2014</w:t>
      </w:r>
    </w:p>
    <w:p>
      <w:r>
        <w:t>FR: GE_GERICHTE A/3626/2014 du 23 mars 2015</w:t>
      </w:r>
    </w:p>
    <w:p>
      <w:r>
        <w:t>IT: GE_GERICHTE A/3626/2014 del 23 marzo 2015</w:t>
      </w:r>
    </w:p>
    <w:p>
      <w:pPr>
        <w:pStyle w:val="Heading2"/>
      </w:pPr>
      <w:r>
        <w:t>Erwägungen</w:t>
      </w:r>
    </w:p>
    <w:p>
      <w:r>
        <w:rPr>
          <w:b/>
        </w:rPr>
        <w:t>E. 6</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c)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Le droit d'être entendu, tel qu'il est garanti par l'art. 29 al. 2 de la Constitution fédérale de la Confédération suisse, du 18 avril 1999 (Cst. ;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(ATFA non publié I 512/05 du 3 mai 2006 consid. 4.2).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non publié 9C_74/2008 du 17 juillet 2008 consid. 2). Dans un ATFA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RAI). Or, s’il apparaît ultérieurement, à la suite d’une nouvelle analyse de la situation, que l’appréciation médicale du cas à l’époque était critiquable, cela ne rend pas pour autant la décision prise sur cette base comme étant manifestement erronée ». S'agissant en particulier de la problématique des troubles somatoformes douloureux, la jurisprudence les concernant (ATF 130 V 352 ) ne saurait constituer un motif de reconsidération de la décision de rente (SVR 2008 IV n° 5 p. 12, I 138/07 consid. 4), pas plus qu'elle ne justifie, au titre d'une adaptation à un changement des fondements juridiques, de réduire ou de supprimer des rentes en cours, qui ont été allouées par le passé à des assurés souffrant de troubles somatoformes douloureux (ATF 135 V 215 ). De jurisprudence constante, l'administration n'est pas tenue de reconsidérer les décisions; elle en a simplement la faculté et ni l'assuré ni le juge ne peuvent l'y contraindre (ATF 117 V 8 consid. 2a p. 12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 L'introduction de la LPGA n'a rien changé à cet égard. Le législateur, qui n'a pas voulu déroger à ces principes, n'a fait que codifier cette pratique jurisprudentielle (ATF du 10 juillet 2008 9C 447/2007).</w:t>
      </w:r>
    </w:p>
    <w:p>
      <w:r>
        <w:rPr>
          <w:b/>
        </w:rPr>
        <w:t>E. 7</w:t>
      </w:r>
    </w:p>
    <w:p>
      <w:r>
        <w:t>Lorsque le juge procède par substitution de motifs, il ne saurait se contenter - une fois constaté le caractère manifestement erroné de la décision initiale dans son ensemble - de confirmer purement et simplement en son résultat la décision de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I 406/05 du 13 juillet 2006, consid. 5.3).</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 op. cit., consid. 2.4). 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10</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12</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13</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w:t>
      </w:r>
    </w:p>
    <w:p>
      <w:r>
        <w:rPr>
          <w:b/>
        </w:rPr>
        <w:t>E. 14</w:t>
      </w:r>
    </w:p>
    <w:p>
      <w:r>
        <w:t>En l'espèce, le SMR, tout comme les médecins traitants du recourant, estime que celui-ci n'est plus en mesure de travailler dans son activité antérieure, sur un chantier, mais dispose d'une capacité de travail totale dans une activité adaptée à ses limitations fonctionnelles (avis du Dr J______ des 21 août 2014 et 26 janvier 2015; avis du Dr H______ des 29 avril, 7 novembre et 18 décembre 2014; avis du Dr I______ du 6 juin 2014). Quant à la Dresse F______ et au Dr G______, ils ne se sont pas précisément prononcés sur la capacité de travail du recourant. Enfin, le Dr M______ a attesté, le 12 décembre 2014, d'une limitation de la capacité de travail du recourant. Toutefois, il a fait état d'une décompensation dépressive survenue en novembre 2014, soit postérieurement à la décision litigieuse du 29 octobre 2014. Au vu des avis médicaux précités, il convient de retenir que le recourant dispose d'une capacité de travail dans une activité adaptée. A cet égard, le calcul opéré par l'intimé du degré d'invalidité du recourant n'est pas précisément contesté par celui-ci. La question pourrait se poser de savoir si l'intimé, au lieu de se fonder sur un revenu d'invalide, calculé selon l'enquête suisse sur la structure des salaires (tableau TA1, niveau 4), n'aurait pas dû prendre en compte le salaire auquel le recourant pourrait prétendre comme machiniste, sans invalidité. Cependant, même si l'on prend en compte le salaire sans invalidité d'un machiniste, selon les données transmises par D______ SA le 2 mars 2015, soit CHF 59'040.- annuel et CHF 4'920.- mensuel, le degré d'invalidité ne serait pas supérieur au 10% calculé par l'OAI, le salaire d'invalide basé sur l'ESS 2010, tableau TA1, niveau 4, établissant un salaire annuel de CHF 4'901.-. A cet égard, le remboursement des frais supplémentaires (repas), indiqué comme frais de panier de CHF 24.- par jour, n'est pas considéré comme un revenu du travail, mais un dédommagement pour les dépenses directement liées à l'exercice de la profession et n'est, à ce titre, pas pris en considération dans le calcul de gain annuel (ATF non publié I 97/05 du 13 avril 2006), de sorte qu'il ne saurait être ajouté en l'espèce au montant de CHF 59'040.-. Enfin, compte tenu des déclarations en audience, tant du représentant de l'intimé que du recourant, il convient de rappeler à celui-ci qu'il peut déposer, auprès de l'intimé, une demande motivée d'aide au placement, dans le cadre de laquelle l'opportunité d'un stage d'observation professionnelle pourra être examinée.</w:t>
      </w:r>
    </w:p>
    <w:p>
      <w:r>
        <w:rPr>
          <w:b/>
        </w:rPr>
        <w:t>E. 15</w:t>
      </w:r>
    </w:p>
    <w:p>
      <w:r>
        <w:t>Au vu de ce qui précède, le recours ne peut qu'être rejeté. Etant donné que depuis le 1 er juillet 2006, la procédure n'est plus gratuite (art. 69 al. 1bis LAI), il y a lieu de condamner le recourant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