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A/3624/2013 vom 11. Februar 2014</w:t>
      </w:r>
    </w:p>
    <w:p>
      <w:r>
        <w:t>GE Cour de justice, 2014-02-11, FR</w:t>
      </w:r>
    </w:p>
    <w:p>
      <w:r>
        <w:rPr>
          <w:b/>
        </w:rPr>
        <w:t xml:space="preserve">Quelle: </w:t>
      </w:r>
      <w:r>
        <w:t>https://mcp.opencaselaw.ch/entscheid/ge_gerichte_A_3624_2013</w:t>
      </w:r>
    </w:p>
    <w:p>
      <w:r>
        <w:t>FR: GE_GERICHTE A/3624/2013 du 11 février 2014</w:t>
      </w:r>
    </w:p>
    <w:p>
      <w:r>
        <w:t>IT: GE_GERICHTE A/3624/2013 del 11 febbraio 2014</w:t>
      </w:r>
    </w:p>
    <w:p>
      <w:pPr>
        <w:pStyle w:val="Heading2"/>
      </w:pPr>
      <w:r>
        <w:t>Erwägungen</w:t>
      </w:r>
    </w:p>
    <w:p>
      <w:r>
        <w:rPr>
          <w:b/>
        </w:rPr>
        <w:t>E. 1</w:t>
      </w:r>
    </w:p>
    <w:p>
      <w:r>
        <w:t>ère Chambre En la cause Madame M__________, domiciliée au PETIT-LANCY Monsieur M__________, domicilié à MEYRIN demandeurs contre CAISSE DE PREVOYANCE DE L’ETAT DE GENEVE, sise boulevard de Saint-Georges 38, GENEVE défenderesse EN FAIT 1.        Par jugement du 25 avril 2012, la 4 ème chambre du Tribunal de première instance a prononcé le divorce de Madame M__________, née N__________ en 1972, et Monsieur M__________, né en 1971, mariés en date du 23 avril 1999. ![endif]&gt;![if&gt; 2.        Selon le chiffre 9 du jugement précité, le Tribunal de première instance a ordonné le partage par moitié des avoirs de prévoyance professionnelle acquis par chacun des époux durant le mariage.![endif]&gt;![if&gt; 3.        Le jugement de divorce est devenu définitif le 14 juin 2012 et a été transmis d'office à la Chambre de céans le 13 novembre 2013 pour exécution du partage.![endif]&gt;![if&gt; 4.        La Chambre de céans a informé les demandeurs de ce qu'une procédure était enregistrée, puis a interpellé les institutions défenderesses en les priant de lui communiquer les montants des avoirs LPP des parties acquis durant le mariage, soit entre le 23 avril 1999 et le 14 juin 2012.![endif]&gt;![if&gt; 5.        L'instruction menée par la Chambre de céans a permis d'établir les faits pertinents suivants :![endif]&gt;![if&gt; S'agissant des avoirs LPP de la demanderesse : - Par courrier du 9 décembre 2013, la CAISSE DE PREVOYANCE DU PERSONNEL DES ETABLISSEMENTS PUBLICS MEDICAUX DU CANTON DE GENEVE (CEH) a informé la Chambre de céans que la demanderesse est affiliée auprès d’elle depuis le 1 er février 1993, sans apport de libre passage. Elle a précisé que les avoirs LPP de sortie de celle-ci au jour du mariage s'élevaient à 36'588 fr. 65 , intérêts au jour du divorce compris. Quant à la prestation de libre passage totale, elle s'élève à 104'677 fr. 65 . S'agissant des avoirs LPP du demandeur : - Le 29 novembre 2013, la CAISSE DE PREVOYANCE DU PERSONNEL ENSEIGNANT DE L’INSTRUCTION PUBLIQUE ET DES FONCTIONNAIRES DE L’ADMINISTRATION DU CANTON DE GENEVE (CIA) a déclaré affilier le demandeur depuis le 1 er octobre 1997. La prestation de libre passage du demandeur acquise au jour du mariage s'élève à 7'404 fr. 35 , intérêts au jour du divorce compris. Les avoirs LPP de celui-ci, au 30 juin 2012, sont au total de 98'148 fr. 90 . 6.        En date du 1 er janvier 2014, la CEH et la CIA ont fusionné, et sont devenues la CAISSE DE PREVOYANCE DE L’ETAT DE GENEVE.![endif]&gt;![if&gt; 7.        Ces documents ont été transmis aux parties en date du 15 janvier 2014. La juridiction leur a indiqué qu'à défaut d'observations d'ici au 27 janvier 2014, un arrêt serait rendu sur cette base.![endif]&gt;![if&gt; En l'absence d'objections dans le délai fixé, la cause a été gardée à juger.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23 avril 1999, d’autre part le 14 juin 2012, date à laquelle le jugement de divorce est devenu exécutoire.![endif]&gt;![if&gt; 5.        Selon les documents produits, la prestation acquise pendant le mariage par le demandeur est de 90’744 fr. 55 (98'148 fr. 90 - 7'404 fr. 35), tandis que celle acquise par la demanderesse est de 68'089 fr. (104'677 fr. 65 - 36'588 fr. 65), les intérêts ayant déjà été calculés par les institutions de prévoyance défenderesses. ![endif]&gt;![if&gt; Ainsi le demandeur doit à son ex-épouse le montant de 45’372 fr. 30 (90’744 fr. 55 : 2) et celle-ci doit à celui-là le montant de 34’044 fr. 50 (68’089 fr. : 2), de sorte que c’est le demandeur qui doit à la demanderesse le montant de 11’327 fr. 80 (45'372 fr. 30 - 34'044 fr. 50).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