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A/3611/2023 vom 29. April 2024</w:t>
      </w:r>
    </w:p>
    <w:p>
      <w:r>
        <w:t>GE Cour de justice, 2024-04-29, FR</w:t>
      </w:r>
    </w:p>
    <w:p>
      <w:r>
        <w:rPr>
          <w:b/>
        </w:rPr>
        <w:t xml:space="preserve">Quelle: </w:t>
      </w:r>
      <w:r>
        <w:t>https://mcp.opencaselaw.ch/entscheid/ge_gerichte_A_3611_2023</w:t>
      </w:r>
    </w:p>
    <w:p>
      <w:r>
        <w:t>FR: GE_GERICHTE A/3611/2023 du 29 avril 2024</w:t>
      </w:r>
    </w:p>
    <w:p>
      <w:r>
        <w:t>IT: GE_GERICHTE A/3611/2023 del 29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 conduite d'une expertise judiciaire, dans la mesure où l’opinion des parties diverge quant à la prise en compte de la dissolution de la provision dans le CA.</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la question de savoir si la dissolution d’une provision doit être incluse dans le CA afin de calculer l’aide d’urgence constitue une question de droit qui est l’objet de la présente procédure et doit donc être tranchée dans le cadre de celle-ci. Une expertise ne serait ainsi pas à même d’apporter des éléments de preuve influant sur l’issue de la procédure, puisque la chambre administrative dispose de tous les faits déterminants et est compétente pour émettre un avis juridique quant au calcul du CA dans le cadre de l’aide d’urgence. L’expertise n’est donc pas pertinente pour trancher le présent litige, de sorte qu’il n’y sera pas donné droit.</w:t>
      </w:r>
    </w:p>
    <w:p>
      <w:r>
        <w:rPr>
          <w:b/>
        </w:rPr>
        <w:t>E. 3</w:t>
      </w:r>
    </w:p>
    <w:p>
      <w:r>
        <w:t>L’objet du litige porte sur la conformité au droit de la décision sur réclamation du 29 septembre 2023 confirmant la décision du 25 juillet 2023 qui demande la restitution de la part d’indemnisation indûment perçue pour l’année 2020. La présente cause ne concerne en revanche pas la période portant sur le premier semestre 2021.</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La juridiction administrative chargée de statuer est liée par les conclusions des parties. Elle n’est en revanche pas liée par les motifs que les parties invoquent (art. 69 al. 1 LPA).</w:t>
      </w:r>
    </w:p>
    <w:p>
      <w:r>
        <w:rPr>
          <w:b/>
        </w:rPr>
        <w:t>E. 4</w:t>
      </w:r>
    </w:p>
    <w:p>
      <w:r>
        <w:t>La recourante reproche au département d’avoir tenu compte du montant de la dissolution de la provision de CHF 189'000.- dans le calcul du CA pour l’année 2020.</w:t>
      </w:r>
    </w:p>
    <w:p>
      <w:r>
        <w:rPr>
          <w:b/>
        </w:rPr>
        <w:t>E. 4.1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La chambre de céans revoit librement l’interprétation des notions juridiques indéterminées. Si ces notions font appel à des connaissances spécifiques que l’autorité administrative est mieux à même d’apprécier qu’un tribunal, elle s’impose toutefois une certaine retenue. Lorsqu’il résulte de l’interprétation de la loi que le législateur a voulu, par l’utilisation de notions juridiques indéterminées, conférer à l’autorité de décision une marge de manœuvre, elle limite de même son contrôle à l’excès ou à l’abus de ce pouvoir d’appréciation (ATF 132 II 257 consid. 3.2 ; 131 II 13 consid. 3.4 ; ATA/666/2021 du 29 juin 2021 consid. 5c et les arrêts cités).</w:t>
      </w:r>
    </w:p>
    <w:p>
      <w:r>
        <w:rPr>
          <w:b/>
        </w:rPr>
        <w:t>E. 4.2</w:t>
      </w:r>
    </w:p>
    <w:p>
      <w:r>
        <w:t>Le 25 septembre 2020, l’Assemblée fédérale a adopté la loi fédérale sur les bases légales des ordonnances du Conseil fédéral visant à surmonter l’épidémie de Covid-19 (loi Covid-19 - RS 818.102). L’art. 12 de la loi Covid-19, dans sa teneur du 2 septembre 2021 applicable au cas d’espèce, prévoit les mesures pour les cas de rigueur destinées aux entreprises.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l’art. 12 al. 1 de la loi Covid-19 si le CA annuel de l’entreprise est inférieur à 60% de la moyenne pluriannuelle. La situation patrimoniale et la dotation en capital globales doivent être prises en considération, ainsi que la part des coûts fixes non couverts (al. 1bis). Le soutien des mesures cantonales destinées aux entreprises réalisant un CA annuel de CHF 5'000'000.- au plus est accordé à condition que les exigences minimales de la Confédération soient respectées (al. 1sexies). Se fondant sur l’art. 12 al. 4 de la loi Covid-19, le Conseil fédéral a édicté l’ordonnance concernant les mesures pour les cas de rigueur destinées aux entreprises en lien avec l’épidémie de Covid-19 du 25 novembre 2020 (ordonnance Covid-19 cas de rigueur ; RS - 951.262). Dans sa teneur au 12 mai 2021, l’entreprise doit prouver au canton que son CA 2020 est inférieur à 60% du CA moyen des exercices 2018 et 2019 en raison des mesures ordonnées par les autorités aux fins de la lutte contre l’épidémie de Covid-19 (art. 5 al. 1 ordonnance Covid-19 cas de rigueur). Les contributions non remboursables accordées aux entreprises dont le CA annuel atteint CHF 5'000'000.- au plus s’élèvent au maximum à 20% du CA moyen des exercices 2018 et 2019 et au maximum à CHF 1'000'000.- par entreprise (art. 8a al. 1 ordonnance Covid-19 cas de rigueur). Une entreprise ne peut recevoir lesdites aides que dans les limites du plafond correspondant (art. 8d al. 1 ordonnance Covid‑19 cas de rigueur). Le CA au sens de ladite ordonnance se réfère au compte individuel de l’entreprise requérante (art. 3 al. 3 ordonnance Covid-19 cas de rigueur).</w:t>
      </w:r>
    </w:p>
    <w:p>
      <w:r>
        <w:rPr>
          <w:b/>
        </w:rPr>
        <w:t>E. 4.3</w:t>
      </w:r>
    </w:p>
    <w:p>
      <w:r>
        <w:t>Dans le canton de Genève,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dont le but était notamment de limiter les conséquences économiques de la lutte contre l’épidémie pour les entreprises sises dans le canton, conformément à la loi et à l’ordonnance Covid-19 cas de rigueur (art. 1 al. 1 aLAFE-2021). Ladite loi a été abrogée par la LAFE-2021, ayant pour but de limiter les conséquences économiques de la lutte contre l’épidémie de Covid-19 pour les entreprises sises dans le canton de Genève conformément à la loi Covid-19 et à l’ordonnance Covid‑19 cas de rigueur (art. 1 al. 1 LAFE-2021). Cette aide financière extraordinaire vise à atténuer les pertes subies par les entreprises dont les activités ont été interdites ou réduites en raison de la nature même de leurs activités, entre le 1er janvier 2021 et le 31 décembre 2021 (art. 1 al. 2 LAFE-2021). L’art. 3 LAFE-2021 règle les principes d’indemnisation et prévoit que l’aide financière extraordinaire consiste en une participation à fonds perdu de l’État de Genève destinée à couvrir les coûts fixes non couverts de l’entreprise en application de l’ordonnance Covid-19 cas de rigueur (al. 1). L'activité réelle de l'entreprise est prise en compte dans la détermination de l'indemnité (al. 3). Aux commentaires par article du projet de loi (PL) 12'938, il est précisé que la situation financière découlant de l’activité effective de l’entreprise est examinée pour déterminer l’indemnisation (PL 12'938, p. 28 https://ge.ch/grandconseil/data/texte/ PL12938.pdf). L’art. 4 LAFE-2021 a trait aux entreprises bénéficiaires, soit notamment celles qui, en raison des mesures prises par la Confédération ou le canton pour endiguer l’épidémie de Covid-19, doivent cesser totalement ou partiellement leur activité selon les dispositions de l’ordonnance Covid-19 (let. a), dont la baisse du CA enregistré se situe entre 25% et 40% et qui ne couvrent pas leurs coûts fixes (indemnisation cantonale ; let. c). Dans les deux cas, l’indemnité maximale par entreprise ne dépasse pas la somme totale de CHF 1'000'000.- (art. 7 et 8 LAFE‑2021). Selon l’art. 9 al. 1 let. a LAFE-2021, l’État de Genève peut octroyer sans participation financière de la Confédération des aides en faveur des entreprises dont la baisse de CA enregistrée se situe entre 25% et 40% du CA moyen des exercices 2018 et 2019. Cette indemnité cantonale, par entreprise et pour la période du 1 er janvier 2020 au 30 juin 2021 ne dépasse pas la somme totale de CHF 1'000'000.- et 20% du CA (art. 10 al. 1 LAFE-2021). Les montants indûment perçus, conformément à l’art. 17 LAFE-2021 doivent être restitués (art. 29 al. 3 du règlement d’application de la LAFE-2021 du 5 mai 2021 - ROLG 2021, p. 283 ; ci-après : RAFE-2021, entré en vigueur le 5 mai 2021).</w:t>
      </w:r>
    </w:p>
    <w:p>
      <w:r>
        <w:rPr>
          <w:b/>
        </w:rPr>
        <w:t>E. 4.4</w:t>
      </w:r>
    </w:p>
    <w:p>
      <w:r>
        <w:t>Le RAFE-2021 a été modifié le 7 juillet 2021 (ROLG 2021, p. 466). Les dispositions pertinentes à la résolution du cas d’espèce n’ont toutefois pas été substantiellement modifiées à cette occasion. Le cas des entreprises avec un CA moyen 2018-2019 de CHF 5'000'000.- au plus est réglé au chapitre 1 du Titre II du RAFE 2021. Celles dont l’activité était totalement ou partiellement interdite peuvent prétendre à une aide financière si elles avaient dû cesser totalement ou partiellement leur activité pendant au moins 40 jours entre le 1 er novembre 2020 et le 30 juin 2021 (art. 8 al. 1 RAFE-2021). Le montant de l’indemnité correspond aux coûts fixes 2020 admis calculés à compter du 1 er janvier 2021 au prorata du nombre de jours pendant lesquels l’activité était totalement ou partiellement interdite (art. 9 al. 1 RAFE-2021). L’indemnité maximale par entreprise pour l’année 2021 ne dépasse pas la somme totale de CHF 1'000'000.- et 20% du CA (art. 10 RAFE-2021). Les entreprises dont la baisse du CA, calculée sur une période de douze mois comprise entre le 1 er janvier 2020 et le 30 juin 2021, se situe entre 25% et 40% du CA moyen déterminé selon les modalités de l’ordonnance Covid-19 cas de rigueur peuvent prétendre à l’aide financière cantonale (art. 14 RAFE-2021). Selon l’art. 15 RAFE‑2021, le montant de l’indemnité pour l’année 2020 correspond à la différence entre les coûts totaux, hors impôts et taxes, et le CA de l’entreprise en 2020 (al. 1). L’indemnité octroyée est versée à titre d’acompte, le montant définitif étant déterminé sur la base d’un examen a posteriori des états financiers de l’entreprise bénéficiaire au 30 juin 2021 (al. 3). L’entreprise bénéficiaire remet au département les états financiers visés à l’al. 3 au moment du dépôt de la demande, si disponibles, mais au plus tard le 31 octobre 2021 (al. 4). En outre, elle doit notamment produire les bilans et comptes de résultats 2018, 2019 et 2020 (art. 24 al. 1 let. b RAFE‑2021). Elle doit collaborer à l’instruction du dossier et renseigner régulièrement le département afin de lui présenter une image fidèle et transparente de la marche de ses affaires (art. 25 RAFE-2021).</w:t>
      </w:r>
    </w:p>
    <w:p>
      <w:r>
        <w:rPr>
          <w:b/>
        </w:rPr>
        <w:t>E. 4.5</w:t>
      </w:r>
    </w:p>
    <w:p>
      <w:r>
        <w:t>La comptabilité commerciale des entreprises est indispensable à l’État pour connaître les bases d’imposition et effectuer les taxations appropriées. Parfois, les règles fiscales, qui reflètent les préoccupations de prélèvements publics, divergeront des règles comptables, qui se concentrent sur la gestion de l’entreprise. Des ajustements seront alors nécessaires en fonction du public visé par les états financiers (Rémy BUCHELER, Abrégé de droit comptable, 2015, p. 5 n. 4). Selon l’art. 957a de la loi fédérale du 30 mars 1911, complétant le Code civil suisse (CO, Code des obligations - RS 220), la comptabilité constitue la base de l’établissement des comptes. Elle enregistre les transactions et les autres faits nécessaires à la présentation du patrimoine, de la situation financière et des résultats de l’entreprise (situation économique ; al. 1). Les comptes sont présentés dans le rapport de gestion. Ce dernier contient les comptes annuels individuels (comptes annuels) qui se composent du bilan, du compte de résultat et de l’annexe. Les dispositions applicables aux grandes entreprises et aux groupes sont réservées (art. 959b al. 2 CO). L’art. 959b CO traite de la structure minimale du compte de résultat. Il y est précisé que le compte de résultat reflète les résultats de l’entreprise durant l’exercice. Il peut être établi selon la méthode de l’affectation des charges par nature ou selon la méthode de l’affectation des charges par fonction (al. 1). Que le compte de résultats soit établi par nature ou par fonction, il doit comporter au moins les postes qui sont énoncés aux al. 2 et 3 de cette disposition. Les postes doivent être indiqués séparément et selon une structure précise. Doivent figurer les produits nets des ventes de biens et de prestations de services (al. 2 ch. 1 ; al. 3 ch. 1) et, séparément, notamment les charges et produits financiers (al. 2 ch. 7 ; al. 3 ch. 4) ; les charges et produits hors exploitation (al. 2 ch. 8 ; al. 3 ch. 5), ainsi que les charges et produits exceptionnels, uniques ou hors période (al. 2 ch. 9 ; al. 3 ch. 6). Les charges et les produits exceptionnels visés aux al. 2, ch. 9, et 3, ch. 6, se réfèrent à des événements inhabituels, généralement uniques ou qui ne sont pas directement liés à la marche des affaires (Message concernant la révision du code des obligations du 21 décembre 2007, FF 2008 1407, 1526). Compte tenu de ce critère, ce poste comprend à la fois ce qui ne fait pas partie de l'activité ordinaire de l'entreprise et à la fois ce qui ne se produit généralement qu'une fois, même si cela survient dans la sphère des activités ordinaires de l'entreprise (Henry TORRIONE/Aurélien BARAKAT, in Commentaire romand, CO II, 2017, n. 14 ad art. 959b CO).</w:t>
      </w:r>
    </w:p>
    <w:p>
      <w:r>
        <w:rPr>
          <w:b/>
        </w:rPr>
        <w:t>E. 4.6</w:t>
      </w:r>
    </w:p>
    <w:p>
      <w:r>
        <w:t>La notion de CA n'est pas définie explicitement par le droit comptable. Cette même notion est utilisée dans le cadre du droit de la révision sans définition législative explicite. Le comité de la conférence suisse des impôts prend en compte les rabais commerciaux, remises et pertes sur débiteurs ainsi que les annulations. Le CA s'entend hors TVA. Il ne comprend pas uniquement le CA résultant des ventes et des prestations de services, notion régulièrement mentionnées dans la loi. En effet, les sources de revenus sont bien plus larges. Selon la chambre fiduciaire, « le CA englobe en principe tous les revenus du compte de résultat. En font partie tous les produits d'exploitation, produits hors exploitation et produits exceptionnels, notamment les produits d'intérêts, de dividendes et de licences. Dans le cas de produits exceptionnels, il convient le cas échéant de procéder à une différenciation ». Tous les revenus tirés par l'entreprise de ses activités, quelles qu'elles soient, sont ainsi pertinents pour l'appréciation de sa situation économique (Rémy BUCHELER, op. cit., p. 56 et 57).</w:t>
      </w:r>
    </w:p>
    <w:p>
      <w:r>
        <w:rPr>
          <w:b/>
        </w:rPr>
        <w:t>E. 4.7</w:t>
      </w:r>
    </w:p>
    <w:p>
      <w:r>
        <w:t>Les sociétés énumérées à l'art 727 al. 1 CO sont tenues de soumettre leurs comptes annuels et, le cas échéant, leurs comptes consolidés au contrôle ordinaire d’un organe de révision. Sont notamment concernées les sociétés dites d'une certaine importance économique (art. 727 al. 1 ch. 2 CO). Les critères permettant de les identifier sont le total du bilan, le CA et la moyenne annuelle des emplois à plein temps. Le CA équivaut au CA net, c'est-à-dire le CA brut, soit la somme de l'ensemble des produits, moins les rabais, escomptes et retours. Il sera tenu compte de tous les produits, aussi bien des produits d'exploitation ou financiers que des produits extraordinaires (Henry PETER/Emmanuel GENEQUAND/Francesca CAVADANI, in Commentaire romand, CO II, 2017, n. 22 et 24a ad art. 727 CO).</w:t>
      </w:r>
    </w:p>
    <w:p>
      <w:r>
        <w:rPr>
          <w:b/>
        </w:rPr>
        <w:t>E. 4.8</w:t>
      </w:r>
    </w:p>
    <w:p>
      <w:r>
        <w:t>Dans un arrêt récent, la chambre de céans a retenu, au sujet de la notion de CA et de sa détermination, que, vu l’absence de définition de celui-ci dans les lois et ordonnances applicables en matière de Covid‑19, le fait que les aides pour cas de rigueur n’avaient pas pour but de combler les lacunes résultant de débiteurs insolvables d’avant la pandémie, les bases légales applicables à la comptabilité commerciale et la référence à d’autres lois le définissant, l’autorité pouvait, à juste titre, considérer que le CA résultait de la somme des ventes de biens ou de services d’une entreprise au cours d’un exercice comptable. Dans le cas tranché, où le CA moyen 2018-2019 de l'entreprise sollicitant l'aide financière était supérieur à CHF 5'000'000.-, l'autorité s’était valablement tenue à l’addition des encaissements, soit aux produits des ventes réalisées par la recourante, sans prendre en compte la variation de la provision pour débiteurs douteux dans son CA en 2019 ni la provision pour débiteurs douteux et les pertes sur débiteurs en 2020. Cette manière de faire, en ce qu’elle permettait d’identifier les seules pertes en lien avec les mesures adoptées pour lutter contre l’épidémie, n’était pas choquante et permettait d’appréhender l’activité réelle de l’entreprise dans le respect de l’art. 3 al. 3 LAFE‑2021 ( ATA/474/2023 du 24 avril 2023 consid. 9). Ultérieurement, la chambre de céans a retenu, en se fondant sur l'aLAFE-2021, que l'autorité avait valablement relevé que la loi exigeait que deux conditions cumulatives fussent remplies pour percevoir l’aide « cas de rigueur », soit un certain taux de baisse du CA et l’absence de couverture des coûts fixes de la société. L’abandon de créance de l'actionnaire, reporté dans les comptes définitifs de résultat de la recourante au 31 décembre 2020, lui permettant de générer un bénéfice, devait être pris en compte dans le CA. La recourante avait d’ailleurs fait l’objet de taxations fiscales communale, cantonale et fédérale sur ledit bénéfice qu’elle n’avait pas contestées. La jurisprudence fédérale retenait également que les prestations des actionnaires à des fins d’assainissement, en particulier les remises de dette, constituaient un rendement ( ATA/1073/2023 du 28 septembre 2023 consid. 2.4). Récemment, la chambre de céans a retenu qu'une entreprise devait se laisser opposer les choix comptables qu’elle avait opérés et ne pouvait de bonne foi contredire les comptes qu’elle avait régulièrement établis, et prétendre que fût qualifié différemment un produit selon qu’elle le présentât au fisc ou à l’autorité à laquelle elle réclamait une subvention. C’était en effet une unique situation économique qu’elle devait en tout temps présenter de manière transparente au département dans le cadre de sa demande d’aide (art. 24 al. 1 let. b et 25 RAFE‑2021; ATA/1076/2023 du 2 octobre 2023 consid. 2.7). Plus récemment encore, la chambre administrative a estimé qu’il était acceptable que le département inclue dans le CA la dissolution des provisions. En effet, dans la mesure où la loi ne définissait pas la notion de CA, le département disposait d'un pouvoir d'appréciation pour le déterminer. Son approche trouvait à ce titre un ancrage juridique et n'était donc pas sans pertinence, dans la mesure où elle était fondée sur les règles relatives aux art. 727 al. 1 ch. 2 CO et 957 al. 2 ch. 1 CO. Quand bien même ces deux dispositions traitaient de cas particuliers, soit la détermination du type de révision et l'allégement de tenir une comptabilité, la définition « élargie » du CA telle qu'elle en ressortait et telle qu’adoptée par le département permettait d'apprécier au mieux la situation économique de l'entreprise et donc de tenir compte de son activité réelle (art. 3 al. 3 LAFE‑2021). Une telle approche était nécessaire dans cette situation inédite de crise sanitaire et économique, où il ne s'agissait pas de procurer des revenus supplémentaires aux entreprises, mais bien de leur permettre de continuer leur activité et d'éviter leur faillite ( ATA/429/2024 du 26 mars 2024, consid. 7).</w:t>
      </w:r>
    </w:p>
    <w:p>
      <w:r>
        <w:rPr>
          <w:b/>
        </w:rPr>
        <w:t>E. 4.9</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de la loi fédérale sur l’impôt fédéral direct du 14 décembre 1990 (LIFD - RS 642.11)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ATA/259/2024 du 27 février 2024 consid. 4.7 et l'arrêt cité ; Pierre‑Marie GLAUSER, Apports et impôt sur le bénéfice, vol. 2, 2005, pp. 96-97).</w:t>
      </w:r>
    </w:p>
    <w:p>
      <w:r>
        <w:rPr>
          <w:b/>
        </w:rPr>
        <w:t>E. 4.10</w:t>
      </w:r>
    </w:p>
    <w:p>
      <w:r>
        <w:t>En l’espèce, la question est de savoir si le montant réclamé en restitution a été indûment perçu au sens de l’art. 17 LAFE-2021. Le département a pris en compte la dissolution de la provision constituée en 2018 dans le calcul du CA de 2020. Cette façon de procéder est conforme aux dispositions légales précitées ainsi qu’à la jurisprudence de la chambre administrative, selon laquelle le CA devait être pris en compte de façon élargie et qui avait confirmé les calculs du département qui avait inclus la dissolution d’une provision dans celui-ci. L’intimé, qui bénéficie d’un large pouvoir d’appréciation, était donc fondé à tenir compte du montant de CHF 189'000.- dans le CA de 2020. De plus, au vu de la situation d'urgence à laquelle l'État a été confronté (voir les art. 23 loi aLAFE-2021 et 24 LAFE‑2021 déclarant l'urgence) et compte tenu du nombre considérable de demandes d'aides déposées (10'000) et à traiter dans un laps de temps restreint, il n'était pas envisageable d'exiger de l'intimé qu'il analyse au cas par cas chaque demande, en particulier chaque poste des produits exceptionnels, dans une optique de retrancher, le cas échéant, certains montants du CA pris en compte. Une certaine schématisation apparaissait ainsi nécessaire et inévitable. Partant, l'intimé pouvait, sans abuser de son pouvoir d'appréciation, se fonder sur les comptes annuels transmis par les sociétés requérantes et considérer que l'ensemble des postes des produits exceptionnels (et des produits financiers) y figurant devait être pris en compte dans la détermination du CA. Cette approche se justifie également par le fait qu'elle permet de tenir compte au mieux de la situation financière réelle de chaque entreprise. Cette solution s'impose d'autant plus qu'il ressort des taxations pour l’année 2020 de la recourante que celle-ci ne s'est pas opposée à ce que la dissolution de la provision soit prise en compte dans le calcul de son bénéfice imposable, ce qu'elle ne conteste du reste pas. Dès lors, elle doit se laisser opposer les choix comptables qu’elle a opérés et ne saurait de bonne foi contredire les comptes qu’elle a régulièrement établis et présentés aux autorités fiscales. Il convient à cet égard de relever que la référence à sa taxation est pertinente, puisque le droit fiscal tient compte au mieux de la réelle situation patrimoniale d’une société. Il sied enfin de préciser que la prise en compte du CA « élargi » pour les entreprises dont le CA moyen 2018-2019 est inférieur à CHF 5'000'000.- n'est pas constitutive d'inégalité de traitement par rapport aux entreprises dont le CA moyen est supérieur à CHF 5'000'000.-. En effet, pour les premières, l'indemnité sert à couvrir les coûts totaux non couverts par le CA de l'entreprise en 2020. En revanche, pour les secondes, le législateur fédéral a clairement exprimé sa volonté que la contribution soit fondée sur les coûts non couverts liés au recul du CA (art. 12 al. 1quinquies let. b loi Covid‑19), ceci afin d'éviter la surindemnisation de certaines grandes entreprises (Message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FF 2021 285, p. 27). Dès lors, le montant de l'indemnité octroyée dans chacun des deux cas précités est composé d'éléments (de calcul) différents (art. 15 al. 1 et 20 al. 1 RAFE-2021), tenant compte de l'importance économique respective des entreprises requérantes. Les deux situations n'apparaissent donc pas en tous points identiques, et ce sur des éléments centraux, ce qui rend une différence de traitement acceptable. Le résultat de cette façon de procéder n’apparaît au demeurant pas choquant, puisque, comme l’a expliqué la recourante, la provision avait été créée en 2018, notamment afin de verser un bonus à l’administrateur. Au vu de la situation difficile lors de l’épidémie, ce dernier a renoncé au paiement du bonus, de sorte que la provision a été dissoute et ainsi utilisée à d’autres fins, tel que le paiement de charges de la recourante. Ainsi, si ce montant n’était pas pris en compte dans le calcul de l’aide, cela aurait pour effet de surindemniser la recourante, qui avait un montant liquide disponible supérieur de CHF 189'000.- à ce qu’elle avait déclaré. Mal fondé, le grief sera écarté. Au vu de ce qui précède, le recours sera rejeté.</w:t>
      </w:r>
    </w:p>
    <w:p>
      <w:r>
        <w:rPr>
          <w:b/>
        </w:rPr>
        <w:t>E. 5</w:t>
      </w:r>
    </w:p>
    <w:p>
      <w:r>
        <w:t>Vu l’issue du litige, un émolument de CHF 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