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A/3605/2012 vom 27. Februar 2013</w:t>
      </w:r>
    </w:p>
    <w:p>
      <w:r>
        <w:t>GE Cour de justice, 2013-02-27, FR</w:t>
      </w:r>
    </w:p>
    <w:p>
      <w:r>
        <w:rPr>
          <w:b/>
        </w:rPr>
        <w:t xml:space="preserve">Quelle: </w:t>
      </w:r>
      <w:r>
        <w:t>https://mcp.opencaselaw.ch/entscheid/ge_gerichte_A_3605_2012</w:t>
      </w:r>
    </w:p>
    <w:p>
      <w:r>
        <w:t>FR: GE_GERICHTE A/3605/2012 du 27 février 2013</w:t>
      </w:r>
    </w:p>
    <w:p>
      <w:r>
        <w:t>IT: GE_GERICHTE A/3605/2012 del 27 febbraio 2013</w:t>
      </w:r>
    </w:p>
    <w:p>
      <w:pPr>
        <w:pStyle w:val="Heading2"/>
      </w:pPr>
      <w:r>
        <w:t>Erwägungen</w:t>
      </w:r>
    </w:p>
    <w:p>
      <w:r>
        <w:rPr>
          <w:b/>
        </w:rPr>
        <w:t>E. 5</w:t>
      </w:r>
    </w:p>
    <w:p>
      <w:r>
        <w:t>ème Chambre En la cause X_________, Mme T_________, à Genève recourante contre CAISSE CANTONALE GENEVOISE DE COMPENSATION, service juridique, 12, rue des Gares, 1201 Genève 2 intimée EN FAIT Selon l'attestation de salaires signée le 10 mars 2011 par Madame T_________, qui exploite le Centre d'expression corporelle et de bien-être sous la raison sociale X__________, l'entreprise comptait en décembre 2010 trois employées qui ont réalisé, entre septembre et décembre 2010, un salaire de respectivement 1'213 fr., 2'654 fr. et 2'047 fr. Par décision du 25 novembre 2012, la Caisse cantonale genevoise de compensation a fixé la taxe de formation professionnelle due par l'intéressée pour 2012 à 72 fr. sur la base d'un effectif de 3 salariés en 2010. Par acte posté le 24 décembre 2012, l'intéressée a recouru contre cette décision, en concluant implicitement à son annulation. Elle a fait valoir que son Centre constituait une toute petite structure avec trois employées à temps très partiel (entre une à quatre heures par semaine) qui exerçaient une autre activité professionnelle à titre principal. Pour deux de ses employées, leur travail au centre était considéré comme un loisir. L'entreprise n'avait par ailleurs pas de secrétaire ni comptable ni nettoyeurs. Selon l'intéressée, la taxe de formation professionnelle était plutôt destinée à de plus grandes entreprises. Dans sa réponse du 17 décembre 2012, l'intimée a conclu au rejet du recours, au motif qu'en vertu de la loi, il convenait de prendre en considération, pour la fixation de la taxe professionnelle, les personnes occupées par un employeur au mois de décembre de l'année précédant la fixation de la cotisation par le Conseil d'Etat, soit en l'occurrence décembre 2010, et qu'à cette date la recourante employait trois personnes. Sur ce, la cause a été gardée à juger. EN DROIT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 Le recours, déposé en temps utile devant la juridiction compétente, est recevable (art. 66 LFP). Le litige porte sur le montant dû par la recourante pour 2012 à titre de taxe professionnelle.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Par arrêté du 27 juillet 2011, le Conseil d'Etat a fixé le montant de la taxe annuelle par employé à 24 fr. pour l'année 2012. En l'espèce, la recourante est astreinte à la cotisation en vertu de l'art. 62 LFP. Par ailleurs, l'intimée a respecté l'art. 63 al. 2 LFP en calculant la taxe sur le nombre des salariés au 31 décembre 2010, soit à la fin de l'année précédant l'arrêté du Conseil d'Etat du 27 juillet 2011 fixant la taxe à 24 fr. par employé. En effet, la LFP ne fait pas de distinction entre les salariés à plein temps et à temps partiel. Est uniquement déterminant le nombre de salariés pour le calcul de la taxe et non pas le volume des salaires. La loi ne prévoit pas non plus un salaire minimum à partir duquel la taxe serait due. Le nombre de salariés de la recourante ayant été de trois au 31 décembre 2010, c'est à juste titre que l'intimée a soumis cette dernière au paiement de 72 fr. (3 x 24 fr.) de taxe pour l'année 2012. Le recours, mal fondé, est donc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