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A/3604/2020 vom 8. Februar 2022</w:t>
      </w:r>
    </w:p>
    <w:p>
      <w:r>
        <w:t>GE Cour de justice, 2022-02-08, FR</w:t>
      </w:r>
    </w:p>
    <w:p>
      <w:r>
        <w:rPr>
          <w:b/>
        </w:rPr>
        <w:t xml:space="preserve">Quelle: </w:t>
      </w:r>
      <w:r>
        <w:t>https://mcp.opencaselaw.ch/entscheid/ge_gerichte_A_3604_2020</w:t>
      </w:r>
    </w:p>
    <w:p>
      <w:r>
        <w:t>FR: GE_GERICHTE A/3604/2020 du 8 février 2022</w:t>
      </w:r>
    </w:p>
    <w:p>
      <w:r>
        <w:t>IT: GE_GERICHTE A/3604/2020 del 8 febbraio 2022</w:t>
      </w:r>
    </w:p>
    <w:p>
      <w:pPr>
        <w:pStyle w:val="Heading2"/>
      </w:pPr>
      <w:r>
        <w:t>Erwägungen</w:t>
      </w:r>
    </w:p>
    <w:p>
      <w:r>
        <w:rPr>
          <w:b/>
        </w:rPr>
        <w:t>E. 3</w:t>
      </w:r>
    </w:p>
    <w:p>
      <w:r>
        <w:t>Le 1 er janvier 2021, est entrée en vigueur la modification du 21 juin 2019 de la LPGA. Toutefois, dans la mesure où le recours était alors déjà pendant devant la Chambre de céans, il reste soumis à l'ancien droit (cf. art. 82 a LPGA).</w:t>
      </w:r>
    </w:p>
    <w:p>
      <w:r>
        <w:rPr>
          <w:b/>
        </w:rPr>
        <w:t>E. 4</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l’assurée était âgée de 61 ans au 1 er janvier 2022 et son droit à la rente est né avant cette date, de sorte que les dispositions légales applicables seront citées dans leur ancienne teneur.</w:t>
      </w:r>
    </w:p>
    <w:p>
      <w:r>
        <w:rPr>
          <w:b/>
        </w:rPr>
        <w:t>E. 5</w:t>
      </w:r>
    </w:p>
    <w:p>
      <w:r>
        <w:t>Interjeté dans la forme et le délai prévus par la loi, le recours est recevable (art. 56 LPGA; art. 62 al. 1 de la de loi sur la procédure administrative du 12 septembre 1985 [LPA - E 5 10].</w:t>
      </w:r>
    </w:p>
    <w:p>
      <w:r>
        <w:rPr>
          <w:b/>
        </w:rPr>
        <w:t>E. 6</w:t>
      </w:r>
    </w:p>
    <w:p>
      <w:r>
        <w:t>Le litige ne porte que sur la question de la capacité de travail de l'assurée et le degré d'invalidité dans la sphère professionnelle, le taux d'empêchement dans la sphère ménagère n'étant quant à lui pas contesté.</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6.2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6.2.1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6.2.2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6.2.3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6.2.4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6.2.5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l'intimé, se fondant sur l'avis du SMR, considère l'assurée apte à exercer une activité adaptée à ses limitations fonctionnelles à 50% depuis juin 2018, ce que l'intéressée conteste, alléguant qu'il lui est impossible d'exercer la moindre activité.</w:t>
      </w:r>
    </w:p>
    <w:p>
      <w:r>
        <w:rPr>
          <w:b/>
        </w:rPr>
        <w:t>E. 7.1</w:t>
      </w:r>
    </w:p>
    <w:p>
      <w:r>
        <w:t>Les atteintes à la santé sont clairement établies et non contestées. Il est ainsi admis que la recourante souffre d'une atteinte cardiaque, d'un syndrome pulmonaire restrictif, d'une coxarthrose et d'une gonarthrose, d'un diabète non insulino-traité, de bronchites asthmatiformes à répétition, de conflit sous-acromial des épaules. Les limitations fonctionnelles en découlant sont les suivantes : privilégier une position sédentaire, éviter le port de charges, les champs magnétiques, les mouvements répétés des épaules et les mouvements au-dessus de l'horizontale. Ces limitations ne sont pas contestées non plus. A également été mentionné par le médecin-traitant le diagnostic de trouble dépressif modéré, dont le SMR a jugé qu'il n'était pas invalidant, au vu de la prise de position du psychiatre consulté, qui n'a pas retrouvé de plaintes sur ce plan et n'a jugé bon d'instaurer aucun suivi ni traitement. En définitive, seules divergent les évaluations de la capacité de l'assurée à exercer une activité adaptée, répondant aux limitations fonctionnelles énoncées précédemment. Le SMR retient une capacité de 50%, corroborée par les rapport du Dr B______ de 2018 (qui n'exclut que les activités lourdes physiquement et envisage une activité de bureau), de la Dresse C______, du 27 juin 2018 (qui précise expressément que la dyspnée et la fatigabilité inhabituelles dont se plaint sa patiente ne se manifestent que sur le plan physique ; cf. point 4.2 du rapport) et de la Dresse E______, elle-même, qui, dans un rapport médical du 16 septembre 2019, a estimé sa patiente capable d’effectuer un travail sédentaire de bureau à raison de 4h./jour. Dès lors, l'affirmation contradictoire et non motivée de la Dresse E______ dans ses rapports de juillet 2019 et juillet 2020, qui exclut l'exercice d'une activité adaptée sans autre explication, ne saurait convaincre. Quant au Dr B______, qui avait admis une activité de bureau précédemment, s'il estime, dans son dernier rapport, qu'il est "tout à fait licite que la patiente bénéficie d’une rente d’invalidité", force est de constater qu'il n'en précise pas le taux, pas plus qu'il ne s'exprime sur la capacité de sa patiente à exercer une activité adaptée. Qui plus est, on rappellera que le droit à une rente a bel et bien été reconnu à la recourante. Enfin, la Dresse G______, si elle écarte expressément l'exercice de l'activité habituelle d'aide-soignante - dont il n'est pas contesté qu'elle n'entre plus en ligne de compte -, n'exclut pas l'exercice d'une activité adaptée. Dès lors, eu égard aux considérations qui précèdent, il n'existe aucun élément permettant de s'écarter des conclusions du SMR quant à l'exigibilité d'une activité adaptée aux limitations fonctionnelles de la recourante à 50%. En conséquence, l'évaluation du degré d'invalidité dans la sphère professionnelle n'apparaît pas critiquable.</w:t>
      </w:r>
    </w:p>
    <w:p>
      <w:r>
        <w:rPr>
          <w:b/>
        </w:rPr>
        <w:t>E. 8</w:t>
      </w:r>
    </w:p>
    <w:p>
      <w:r>
        <w:t>Au vu de ce qui précède,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