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A/359/2025 vom 11. März 2025</w:t>
      </w:r>
    </w:p>
    <w:p>
      <w:r>
        <w:t>GE Cour de justice, 2025-03-11, FR</w:t>
      </w:r>
    </w:p>
    <w:p>
      <w:r>
        <w:rPr>
          <w:b/>
        </w:rPr>
        <w:t xml:space="preserve">Quelle: </w:t>
      </w:r>
      <w:r>
        <w:t>https://mcp.opencaselaw.ch/entscheid/ge_gerichte_A_359_2025</w:t>
      </w:r>
    </w:p>
    <w:p>
      <w:r>
        <w:t>FR: GE_GERICHTE A/359/2025 du 11 mars 2025</w:t>
      </w:r>
    </w:p>
    <w:p>
      <w:r>
        <w:t>IT: GE_GERICHTE A/359/2025 del 11 marzo 2025</w:t>
      </w:r>
    </w:p>
    <w:p>
      <w:pPr>
        <w:pStyle w:val="Heading2"/>
      </w:pPr>
      <w:r>
        <w:t>Erwägungen</w:t>
      </w:r>
    </w:p>
    <w:p>
      <w:r>
        <w:rPr>
          <w:b/>
        </w:rPr>
        <w:t>E. 2</w:t>
      </w:r>
    </w:p>
    <w:p>
      <w:r>
        <w:t>Selon l'art. 10 al. 2 LaLEtr, la chambre administrative doit statuer dans les dix jours qui suivent sa saisine. Ayant reçu le recours le 3 mars 2025 et statuant ce jour, elle respecte ce délai.</w:t>
      </w:r>
    </w:p>
    <w:p>
      <w:r>
        <w:rPr>
          <w:b/>
        </w:rPr>
        <w:t>E. 3</w:t>
      </w:r>
    </w:p>
    <w:p>
      <w:r>
        <w:t>Seule est litigieuse la durée de l’interdiction territoriale infligée au recourant.</w:t>
      </w:r>
    </w:p>
    <w:p>
      <w:r>
        <w:rPr>
          <w:b/>
        </w:rPr>
        <w:t>E. 3.1</w:t>
      </w:r>
    </w:p>
    <w:p>
      <w:r>
        <w:t>Aux termes de l'art. 74 al. 1 LEI, l'autorité cantonale compétente peut enjoindre à un étranger de ne pas pénétrer dans une région déterminée notamment lorsqu’il n’est pas titulaire d’une autorisation de courte durée, d’une autorisation de séjour ou d’une autorisation d’établissement et trouble ou menace la sécurité et l’ordre publics. Cette mesure vise notamment à lutter contre le trafic illégal de stupéfiants (let. a). Si le législateur a expressément fait référence aux infractions en lien avec le trafic de stupéfiants,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 Selon le message du Conseil fédéral du 22 décembre 1993 (FF 1994 I 325 ), les étrangers dépourvus d'autorisation de séjour et d'établissement n'ont pas le droit à une liberté totale de mouvement. S'agissant d'une atteinte relativement légère à la liberté personnelle de l'étranger concerné, « le seuil, pour l'ordonner, n'a pas été placé très haut ». Il suffit de se fonder sur la notion très générale de la protection des biens par la police pour définir le trouble ou la menace de la sécurité et de l'ordre publics.</w:t>
      </w:r>
    </w:p>
    <w:p>
      <w:r>
        <w:rPr>
          <w:b/>
        </w:rPr>
        <w:t>E. 3.2</w:t>
      </w:r>
    </w:p>
    <w:p>
      <w:r>
        <w:t>Une mesure basée sur l’art. 74 al. 1 let. a LEI ne présuppose pas une condamnation pénale de l’intéressé (arrêts du Tribunal fédéral 2C_884/2020 précité consid. 3.3 ; 2C_123/2021 du 5 mars 2021).</w:t>
      </w:r>
    </w:p>
    <w:p>
      <w:r>
        <w:rPr>
          <w:b/>
        </w:rPr>
        <w:t>E. 3.3</w:t>
      </w:r>
    </w:p>
    <w:p>
      <w:r>
        <w:t>La mesure doit respecter le principe de la proportionnalité. Tel que garanti par les art. 5 al. 2 et 36 al. 3 de la Constitution fédérale de la Confédération suisse du 18 avril 1999 (Cst. - RS 101), il exige qu'une mesure restrictive soit apte à produire les résultats escomptés et que ceux-ci ne puissent être atteints par une mesure moins incisive. Il interdit toute limitation allant au-delà du but visé et exige un rapport raisonnable entre celui-ci et les intérêts publics ou privés compromis (ATF 140 I 218 consid. 6.7.1 ; 136 IV 97 consid. 5.2.2 ; 135 I 169 consid. 5.6).</w:t>
      </w:r>
    </w:p>
    <w:p>
      <w:r>
        <w:rPr>
          <w:b/>
        </w:rPr>
        <w:t>E. 3.4</w:t>
      </w:r>
    </w:p>
    <w:p>
      <w:r>
        <w:t>L'art. 74 LEI ne précise ni la durée ni l'étendue de la mesure. Selon le Tribunal fédéral, celle-ci doit dans tous les cas répondre au principe de proportionnalité, soit être adéquate au but visé et rester dans un rapport raisonnable avec celui-ci (ATF 142 II 1 consid. 2.3). Elle ne peut donc pas être ordonnée pour une durée indéterminée (arrêt du Tribunal fédéral 2C_197/2013 du 31 juillet 2013 consid. 4.1). Des durées inférieures à six mois ne sont guère efficaces (arrêt du Tribunal fédéral 2C_197/2013 précité consid. 4.2) ; des mesures d'une durée d'une année (arrêt du Tribunal fédéral 2C_330/2015 du 26 novembre 2015 consid. 3.2), voire de deux ans (arrêt du Tribunal fédéral 2C_828/2017 du 14 juin 2018 consid. 4.5) ont été admises.</w:t>
      </w:r>
    </w:p>
    <w:p>
      <w:r>
        <w:rPr>
          <w:b/>
        </w:rPr>
        <w:t>E. 3.5</w:t>
      </w:r>
    </w:p>
    <w:p>
      <w:r>
        <w:t>La chambre de céans a confirmé une interdiction territoriale de douze mois dans le canton de Genève à l’encontre d’une personne sans antécédents, interpellée et condamnée par le Ministère public pour avoir vendu une boulette de cocaïne, l’intéressé n’ayant aucune ressource financière ni aucun intérêt à venir dans le canton ( ATA/655/2021 du 23 juin 2021 ; ATA/802/2019 du 17 avril 2019). Elle a confirmé des interdictions territoriales pour une durée de 18 mois prononcées contre un étranger interpellé en flagrant délit de vente de deux boulettes de cocaïne et auparavant condamné deux fois et arrêté une fois pour trafic de stupéfiants ( ATA/2577/2022 du 15 septembre 2022) ou un étranger sans titre, travail, lieu de séjour précis ni attaches à Genève, condamné plusieurs fois pour infractions à la LEI et la LStup ( ATA/536/2022 du 20 mai 2022).</w:t>
      </w:r>
    </w:p>
    <w:p>
      <w:r>
        <w:rPr>
          <w:b/>
        </w:rPr>
        <w:t>E. 3.6</w:t>
      </w:r>
    </w:p>
    <w:p>
      <w:r>
        <w:t>Le principe ne bis in idem appartient, selon la jurisprudence constante, au droit pénal fédéral. Il découle implicitement de la Cst. (art. 8 al. 1 Cst. ; Gérard PIQUEREZ/Alain MACALUSO, Procédure pénale suisse, 3 e éd., 2011, n. 581 ss ; Michel HOTTELIER, in André KUHN/Yvan JEANNERET [éd.], Code de procédure pénale suisse - Commentaire romand, 2011, n. 1 ad art. 11). Il est ancré à l'art. 4 al. 1 du Protocole n° 7 à la Convention de sauvegarde des droits de l’homme et des libertés fondamentales du 4 novembre 1950 (CEDH) (Protocole n° 7 - RS 0.101.07) et à l'art. 14 al. 7 du Pacte international du 16 décembre 1966 relatif aux droits civils et politiques (RS 0.103.2). Il figure également, depuis le 1 er janvier 2011, à l'art. 11 al. 1 du Code de procédure pénale suisse du 5 octobre 2007 (CPP - RS 312.0). Corollaire de l'autorité de chose jugée, il interdit qu'une personne soit poursuivie ou punie pénalement par les juridictions du même État en raison d'une infraction pour laquelle il a déjà été acquitté ou condamné par un jugement définitif conformément à la loi et à la procédure pénale de cet État.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(ACEDH Zolotoukhine du 10 février 2009, req. n° 14939/03, § 79 ss). Outre l'identité des faits, l'autorité de chose jugée et le principe ne bis in idem supposent également qu'il y ait identité de l'objet de la procédure et de la personne visée (ATF 137 I 363 consid. 2.1 ; 119 Ib 311 consid. 3c et les références citées). Il en découle que même si les deux procédures en cause peuvent être qualifiées autrement que de pénales par l'ordre juridique considéré, il faut matériellement qu'il s'agisse de deux accusations en matière pénale au sens de l'art. 6 § 1 CEDH, sans quoi le principe ne trouve pas à s'appliquer. Le Tribunal fédéral considère que le principe ne bis in idem n'empêche pas de prendre des mesures administratives telles que les expulsions prononcées par les autorités de police des étrangers, en se fondant sur les mêmes faits délictueux qui ont déjà été jugés par le juge pénal (arrêts du Tribunal fédéral 2C_19/2011 du 27 septembre 2011 consid. 3.2 ; 2A.329/2004 du 11 juin 2004 consid. 4; 2A.466/2000 du 18 janvier 2001 consid. 4a et les références citées). La Cour européenne des droits de l'homme (ci-après : CourEDH) a déjà expressément jugé que la détention administrative suisse en vue de renvoi ne constituait pas une accusation en matière pénale (ACEDH Udeh c. Suisse du 16 avril 2013, req. n° 12020/09, § 16 s. cum 56 s.).</w:t>
      </w:r>
    </w:p>
    <w:p>
      <w:r>
        <w:rPr>
          <w:b/>
        </w:rPr>
        <w:t>E. 3.7</w:t>
      </w:r>
    </w:p>
    <w:p>
      <w:r>
        <w:t>En l'espèce, le recourant n'est pas titulaire d'une autorisation de séjour, de sorte que les conditions d'application de l'art. 74 LEI sont remplies. Il a été condamné en 2019 et 2025 pour infractions à la LStup et à d’autres reprises pour infractions à la LEI. Sa dernière condamnation, par ordonnance pénale du 23 janvier 2025, porte sur la vente de 3 gr de cocaïne au total, en plusieurs livraisons au même consommateur. Il n’est pas douteux que par son comportement, il a troublé ou menacé la sécurité et l'ordre publics, la sévérité de la peine prononcée n’étant pas déterminante à cet égard. La mesure attaquée respecte le principe de la proportionnalité tant au regard de son étendue géographique – qui n’est pas discutée – que de sa durée. Le recourant ne dispose d’aucun titre de séjour ni autorisation de travailler en Suisse. Ses allégations toutes générales au sujet de sa relation sentimentale (sa compagne « vi[vai]t en Suisse ») ne peuvent être retenues faute pour lui d’avoir fourni la moindre information sur sa compagne – comme son identité, son adresse ou son numéro de téléphone – ou encore faute d’avoir décrit à tout le moins dans les grandes lignes la relation qu’il affirme avoir avec elle. En toute hypothèse, et ainsi que l’a relevé le TAPI, le recourant pourrait poursuivre une telle relation ailleurs qu’à Genève. Le recourant indique habiter et travailler en Espagne et disposer dans ce pays d’une autorisation de séjour. Il ne peut donc se prévaloir d'un intérêt privé à pouvoir librement circuler dans le canton de Genève, alors que l'intérêt public à le tenir éloigné de ce territoire au vu des risques qu'il présente pour la sécurité et l'ordre publics est évident et prépondérant. Par ailleurs, dès lors que le recourant n'a aucune raison valable de séjourner dans le canton de Genève et qu'il n’avance pas d’élément ou d’intérêt concret qui l'imposerait, il ne se justifie pas, en application du principe de la proportionnalité, de limiter la durée de la mesure. Le recourant reproche au TAPI de ne pas avoir justifié la durée de la mesure. En réalité, le TAPI s’est référé à la jurisprudence de la chambre de céans, laquelle a par exemple confirmé une interdiction territoriale de 18 mois pour un étranger interpellé en flagrant délit de vente de deux boulettes de cocaïne et auparavant condamné deux fois et arrêté une fois pour trafic de stupéfiants ( ATA/2577/2022 précité), ou encore pour un étranger sans titre, travail, lieu de séjour précis ni attaches à Genève, condamné plusieurs fois pour infractions à la LEI et la LStup ( ATA/536/2022 précité), soit des situations similaires à celle du recourant. Celui-ci se plaint encore de la confusion qui résulterait des écritures du commissaire entre procédure administrative et pénale, laquelle ferait craindre une violation du principe ne bis in idem . Le commissaire est une partie devant la chambre de céans et ses écritures ne se confondent pas avec sa décision originelle ni ne sauraient affecter celle-ci de leurs éventuels défauts. Cela étant, les références aux infractions pénales, lorsqu’elles ont été sanctionnées, sont pertinentes pour l’application de l’art. 74 al. 1 let. a LEI, et les écritures du commissaire ne trahissent pour le surplus aucune volonté d’infliger une seconde sanction pénale pour les mêmes agissements. Enfin, le principe ne bis in idem n’empêche pas, ainsi qu’il a été vu plus haut, le prononcé administratif d’expulsions, et a fortiori d’interdictions territoriales, en se fondant sur les mêmes faits délictueux qui ont déjà été jugés par le juge pénal. Il résulte de ce qui précède que le recours, entièrement infondé, sera rejeté.</w:t>
      </w:r>
    </w:p>
    <w:p>
      <w:r>
        <w:rPr>
          <w:b/>
        </w:rPr>
        <w:t>E. 4</w:t>
      </w:r>
    </w:p>
    <w:p>
      <w:r>
        <w:t>La procédure étant gratuite, aucun émolument de procédure ne sera prélevé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