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A/3591/2023 vom 24. Oktober 2024</w:t>
      </w:r>
    </w:p>
    <w:p>
      <w:r>
        <w:t>GE Cour de justice, 2024-10-24, FR</w:t>
      </w:r>
    </w:p>
    <w:p>
      <w:r>
        <w:rPr>
          <w:b/>
        </w:rPr>
        <w:t xml:space="preserve">Quelle: </w:t>
      </w:r>
      <w:r>
        <w:t>https://mcp.opencaselaw.ch/entscheid/ge_gerichte_A_3591_2023</w:t>
      </w:r>
    </w:p>
    <w:p>
      <w:r>
        <w:t>FR: GE_GERICHTE A/3591/2023 du 24 octobre 2024</w:t>
      </w:r>
    </w:p>
    <w:p>
      <w:r>
        <w:t>IT: GE_GERICHTE A/3591/2023 del 24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Le délai de recours est de trente jours (art. 56 LPGA; art. 62 al. 1 de la loi sur la procédure administrative du 12 septembre 1985 [LPA - E 5 10]). Interjeté dans la forme et le délai prévus par la loi, le recours est recevable. En effet, ainsi que le faisait remarquer la Cour de céans à l’intimé dans son courrier du 27 novembre 2023, le recourant, dans le délai imparti pour régulariser sa première écriture, a – même si c’est très brièvement – motivé son recours et pris des conclusions.</w:t>
      </w:r>
    </w:p>
    <w:p>
      <w:r>
        <w:rPr>
          <w:b/>
        </w:rPr>
        <w:t>E. 2</w:t>
      </w:r>
    </w:p>
    <w:p>
      <w:r>
        <w:t>L’objet du litige se limite en l’occurrence à la question de savoir si le recourant a droit à une rente d’invalidité, le refus de toute mesure d’ordre professionnel n’étant quant à lui pas contesté par le recourant.</w:t>
      </w:r>
    </w:p>
    <w:p>
      <w:r>
        <w:rPr>
          <w:b/>
        </w:rPr>
        <w:t>E. 3.1</w:t>
      </w:r>
    </w:p>
    <w:p>
      <w:r>
        <w:t>Le 1 er janvier 2022, les modifications de la LAI du 19 juin 2020 (développement continu de l’AI ; RO 2021 705) et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w:t>
      </w:r>
    </w:p>
    <w:p>
      <w:r>
        <w:rPr>
          <w:b/>
        </w:rPr>
        <w:t>E. 3.2</w:t>
      </w:r>
    </w:p>
    <w:p>
      <w:r>
        <w:t>En l’occurrence, la décision querellée concerne un premier octroi de rente dont le droit – s’il était reconnu – naîtrait après le 31 décembre 2021. En conséquence, les dispositions légales applicables seront citées, ci-après, dans leur nouvelle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rPr>
          <w:b/>
        </w:rPr>
        <w:t>E. 4.2.1</w:t>
      </w:r>
    </w:p>
    <w:p>
      <w:r>
        <w:t>La reconnaissance de l’existence d’une atteinte à la santé psychique suppose la présence d’un diagnostic émanant d’un expert (psychiatre) et s’appuyant selon les règles de l’art sur les critères d’un système de classification reconnu, telle la classification internationale des maladies (ci-après : CIM) ou le DSM-IV (Diagnostic and Statiscal Manual ; ATF 143 V 409 consid. 4.5.2 ; 141 V 281 consid. 2.1 et 2.1.1 ; 130 V 396 consid. 5.3 et 6).</w:t>
      </w:r>
    </w:p>
    <w:p>
      <w:r>
        <w:rPr>
          <w:b/>
        </w:rPr>
        <w:t>E. 4.2.2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qu’en cas d’allégation de lourds handicaps malgré un environnement psycho-social intact (ATF 141 V 281 consid. 2.2.1 et 2.2.2 ; 132 V 65 consid. 4.2.2 ; arrêt du Tribunal fédéral 9C_16/2016 du 14 juin 2016 consid. 3.2).</w:t>
      </w:r>
    </w:p>
    <w:p>
      <w:r>
        <w:rPr>
          <w:b/>
        </w:rPr>
        <w:t>E. 4.2.3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 ATF 141 V 281 consid. 2.2 ; arrêt du Tribunal fédéral 9C_756/2018 du 17 avril 2019 5.2.2 et la référence).</w:t>
      </w:r>
    </w:p>
    <w:p>
      <w:r>
        <w:rPr>
          <w:b/>
        </w:rPr>
        <w:t>E. 4.2.4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4.2.5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5.1</w:t>
      </w:r>
    </w:p>
    <w:p>
      <w:r>
        <w:t>En vertu de l’art. 28 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(cf. al. 4). La quotité de la rente est déterminée en fonction de l’incapacité de gain au moment où le droit à la rente prend naissance ( cf . art. 28 al. 1 let. c LAI). Le droit à la rente naît au plus tôt à l’échéance d’une période de six mois à compter de la date à laquelle l’assuré à fait valoir son droit aux prestations conformément à l’art. 29 al. 1 LPGA, mais pas avant le mois qui suit le 18 ème anniversaire de l’assuré (art. 29 al. 1 LAI).</w:t>
      </w:r>
    </w:p>
    <w:p>
      <w:r>
        <w:rPr>
          <w:b/>
        </w:rPr>
        <w:t>E. 5.2.1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w:t>
      </w:r>
    </w:p>
    <w:p>
      <w:r>
        <w:rPr>
          <w:b/>
        </w:rPr>
        <w:t>E. 5.2.2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5.2.3</w:t>
      </w:r>
    </w:p>
    <w:p>
      <w:r>
        <w:t>On précisera également que le « marché du travail équilibré », auquel se réfèrent les art. 7 et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(ATF 110 V 273 consid. 4b). Il s’ensuit que pour l’évaluation de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main-d’œuvre (VSI 1998 p. 293 consid. 3b; Michel VALTERIO, Droit de l’assurance-vieillesse et survivants [AVS] et de l’assurance-invalidité [AI], Commentaire thématique, p. 563-564 n. 2112). La complémentarité entre l’AI et l’assurance-chômage ne signifie pas que l’assuré qui est écarté du marché du travail puisse dans tous les cas se prévaloir soit de son invalidité soit de son statut de chômeur. Ainsi l’assuré présentant une atteinte grave à la santé peut fort bien ne pas être suffisamment invalide pour pouvoir prétendre à une rente d’invalidité de l’AI tout en étant apte au placement (ATF 109 V 25 consid. 3d). Étant donné que ces deux assurances ne font pas dépendre le droit aux prestations des mêmes conditions – l’invalidité pour l’une, l’aptitude au placement pour l’autre –, il est possible qu’en présence d’une seule et même atteinte à la santé, l’AI admette une capacité de travail entière alors que l’assurance-chômage nie toute aptitude au placement. Il se peut également qu’il existe un droit aux prestations tant de la part l’AI que de celle de l’assurance-chômage. Une absence de droit non seulement vis-à-vis de la première, mais aussi de la seconde assurance est également envisageable (arrêt du Tribunal fédéral des assurances C 282/05 du 3 mars 2006 du 3 mars 2006 consid. 2.3; Ulrich MEYER/ Marco REICHMUTH, Bundesgesetz über die Invalidenversicherung [IVG], in Hans-Ulrich STAUFFER/ Basile CARDINAUX [éditeurs], Rechtsprechung des Bundesgerichts zum Sozialversicherungsrecht, 4 ème éd., 2022, p. 346-347, n. 136 ad art. 28 a LAI).</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6.3.2</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 cf . ATF 137 V 210 consid. 3.4.2.3 ; cf . arrêt du Tribunal fédéral 8C_162/2023 du 9 octobre 2023 consid. 2.3 et les références).</w:t>
      </w:r>
    </w:p>
    <w:p>
      <w:r>
        <w:rPr>
          <w:b/>
        </w:rPr>
        <w:t>E. 6.3.3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7</w:t>
      </w:r>
    </w:p>
    <w:p>
      <w:r>
        <w:t>Selon la jurisprudence, tant dans les cas de tableaux cliniques objectivables que non objectivables, le droit aux prestations de l’assurance-invalidité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(arrêt du Tribunal fédéral 9C_27/2015 du 26 août 2015 consid. 6.1).</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9.1</w:t>
      </w:r>
    </w:p>
    <w:p>
      <w:r>
        <w:t>En l’espèce, la décision litigieuse, fondée sur l’avis du SMR du 23 août 2023 se ralliant lui-même aux conclusions du rapport d’expertise rhumato-psychiatrique du 12 août 2023, retient, dès janvier 2023, une incapacité de travail de 50%, mais considère qu’à compter de fin juin 2023, le recourant a recouvré une capacité de travail entière dans son activité habituelle, qualifiée par les experts d’adaptée. En l’absence d’incapacité de travail d’au moins 40% en moyenne durant une année, les conditions pour pouvoir prétendre une rente d’invalidité (art. 28 al. 1 let. b LAI) ont été niées. Le recourant conteste les conclusions des experts, arguant que son incapacité de travail partielle aurait commencé avant janvier 2023 et se serait maintenue au-delà de juin 2023.</w:t>
      </w:r>
    </w:p>
    <w:p>
      <w:r>
        <w:rPr>
          <w:b/>
        </w:rPr>
        <w:t>E. 9.2</w:t>
      </w:r>
    </w:p>
    <w:p>
      <w:r>
        <w:t>Il convient dès lors d’examiner la valeur probante du rapport d’expertise bidisciplinaire du N______, contestée par le recourant. Il ressort en synthèse de ce rapport qu’en l’absence de limitation fonctionnelle d’ordre psychique, seul le diagnostic rhumatologique de (possible) spondylarthrite ankylosante (M45), responsable de douleurs lombaires et de la partie basse du sacrum depuis les années 2015-2016, a été la cause d’une incapacité de travail de 50% de la mi-2016 à fin 2017 et de 50% de début janvier à fin juin 2023. En dehors de ces périodes, la capacité de travail du recourant a toujours été entière, ne l’empêchant donc, ni d’exercer une activité adaptée à plein temps ni d’exercer à ce même taux ses activités habituelles (cours privés de trompette et remplacements à l’école primaire et secondaire), celles-ci étant adaptées aux limitations fonctionnelles somatiques (changements de position réguliers, pas de soulèvement de charges de plus de 10 kg ni de port de charges, près du corps, dépassant 15 kg). Sur le plan rhumatologique, l’expert P______ souligne que le diagnostic de spondylarthrite ankylosante n’est que « possible », puisque la symptomatologie n’a jamais répondu complètement et totalement aux critères internationaux, mais est tout de même caractérisée par une récidive de la douleur en janvier 2023, suivie a priori d’une nette amélioration sous Cosentyx ® . Concernant l’évolution de la capacité de travail, l’expert explique son évaluation de cette dernière à 100% dès janvier 2018 principalement par l’intensification de la pratique du sport et des scores BASDAI et BASFI, lesquels témoignaient alors d’une faible activité de la maladie, à tout le moins jusqu’en janvier 2023, époque à laquelle le recourant a connu une recrudescence des douleurs dans les lombaires et les membres inférieurs qui a duré jusqu’à fin juin 2023, date marquant l’efficacité mesurable du Cosentyx ® (introduit au printemps 2023), corroborée par la disparition des douleurs dans les membres inférieurs et l’arrêt de la prise d’antalgiques. En outre, le Dr P______ précise qu’au moment de l’expertise, le recourant ne présentait aucune douleur nocturne et pas de dérouillage matinal ; le BASDAI était à 1.6 et le BASFI à 0.5, ce qui soulignait la très faible évolutivité de sa maladie. Son activité sportive était plutôt intensive et semblait participer à l’équilibre de l’intéressé (coach sportif, « slackline », natation, salsa et exercices personnels), témoignant ainsi également de faibles limitations dans son activité quotidienne, ce qui était cohérent avec les constatations cliniques, mais aussi avec le fait qu’il ait réussi un Master en espagnol en 2019, une formation d’agent administratif en 2020 et une formation de comptable. Sur le plan psychique, l’expert O______ explique pour quelle raison il ne retient ni épisode dépressif, ni trouble affectif bipolaire, ni trouble anxieux, ni trouble psychotique, ni trouble de la personnalité, ni trouble somatoforme douloureux, mais seulement des troubles mentaux et du comportement, liés à l’utilisation d’alcool, usage nocif pour la santé (F10.1). Il souligne à ce sujet que la consommation importante d’alcool par le recourant, révélée par les analyses, n’empêche pas ce dernier de réviser ses cours, d’interagir ou de faire ce qu’il a à faire au quotidien et qu’aucune comorbidité addictive n’y est associée. Quant à la consommation de cannabis, elle est tellement occasionnelle qu’elle ne justifie aucun diagnostic la concernant. La Cour de céans constate que ce rapport d’expertise bidisciplinaire a été rendu en pleine connaissance du dossier, qu’il comporte une anamnèse et un status rhumatologique et psychiatrique fouillé, qu’il tient compte des plaintes de l’assuré, que les diagnostics et les conclusions sont bien motivés et que le volet psychiatrique est articulé autour de la grille d’analyse structurée prévue par la jurisprudence. Aussi convient-il en principe d’en reconnaître la valeur probante.</w:t>
      </w:r>
    </w:p>
    <w:p>
      <w:r>
        <w:rPr>
          <w:b/>
        </w:rPr>
        <w:t>E. 9.3</w:t>
      </w:r>
    </w:p>
    <w:p>
      <w:r>
        <w:t>D’avis contraire, le recourant fait valoir que le fait d’avoir réussi un Master en espagnol en 2019, une formation d’agent administratif en 2020 ainsi qu’une formation de comptable ne l’a pas empêché de s’aménager des périodes de repos durant la phase où il suivait quelques heures de cours hebdomadaires et révisait ses connaissances, si bien qu’on ne peut inférer de ces formations, couronnées de succès, qu’il était capable d’exercer une activité lucrative huit heures par jour. En argumentant de la sorte, le recourant semble perdre de vue que le parcours de formation précité est mis en exergue par l’expert rhumatologue dans le cadre de l’appréciation de ses capacités, ressources et difficultés et que les succès évoqués témoignent simplement de la présence de ressources internes qui s’ajoutent aux faibles limitations de l’intéressé au quotidien, au moment de l’expertise (aucune douleur nocturne, pas de dérouillage matinal, activité sportive intensive), ce que l’expert juge d’ailleurs en cohérence avec ses constatations cliniques, celles-ci montrant une très faible évolutivité de la maladie.</w:t>
      </w:r>
    </w:p>
    <w:p>
      <w:r>
        <w:rPr>
          <w:b/>
        </w:rPr>
        <w:t>E. 9.4</w:t>
      </w:r>
    </w:p>
    <w:p>
      <w:r>
        <w:t>Le recourant fait néanmoins valoir qu’en septembre 2023, soit avant la décision litigieuse, sa situation n’était pas celle décrite dans l’expertise dans la mesure où il ressentait des douleurs permanentes incompatibles avec la capacité de travail pleine et entière retenue par les experts. Il en conclut que le certificat du Dr C______ du 24 novembre 2023 devrait être pris en compte et un taux d’invalidité de 40% retenu. Cette argumentation ne saurait être suivie. La Cour de céans relève tout d’abord que, si tant est qu’une aggravation des douleurs s’est produite en septembre 2023 comme allégué par le recourant, la date de cette aggravation n’est pas mentionnée dans le certificat précité. En effet, ce dernier relate, le 24 novembre 2023, que « lors de la dernière consultation d’il y a quelques jours […], le Cosentyx ® lui apporte un certain réconfort mais qu’il ne parvient pas à faire ses activités habituelles de routine, avec des douleurs permanentes et des difficultés à s’endormir […] ». C’est le lieu de rappeler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 s’ensuit que même dans l’hypothèse dans laquelle les conclusions de l’expert rhumatologue ne seraient plus d’actualité, s’agissant de l’exigibilité de l’exercice d’une activité adaptée à plein temps depuis fin juin 2023, l’aggravation des douleurs alléguée et ses répercussions éventuelles n’auraient pas à être prises en considération dans la mesure où les éléments rapportés concernent des faits qui, le 24 novembre 2023, remontaient à « quelques jours ». En tant qu’ils sont postérieurs à la décision attaquée, ces faits ne sont donc pas pertinents pour l’issue du litige. En second lieu, le Dr C______ calque son appréciation de la capacité de travail exigible du recourant (60%) sur ce que le recourant estime lui-même en rapport avec ses capacités : « Il considère que dans un emploi adapté […], il y a une capacité de travail d’environ 60% ». Par cette appréciation, qui reste d’ailleurs fidèle à celle qu’il a émise un an plus tôt (« environ 60% » selon le rapport du 26 novembre 2022), le Dr C______ ne prend pas position sur le rapport d’expertise du N______. En particulier, il ne fait pas état d’éléments objectivement vérifiables qui auraient été ignorés dans le cadre de l’expertise (au moment de cette dernière et/ou jusqu’à la date de la décision querellée) et qui seraient suffisamment pertinents pour remettre en cause les conclusions de l’expert rhumatologue.</w:t>
      </w:r>
    </w:p>
    <w:p>
      <w:r>
        <w:rPr>
          <w:b/>
        </w:rPr>
        <w:t>E. 9.5</w:t>
      </w:r>
    </w:p>
    <w:p>
      <w:r>
        <w:t>Dans un troisième moyen, le recourant soutient que le rapport d’expertise – in casu son volet psychiatrique – ne saurait se voir accorder de valeur probante. En effet, l’expert psychiatre n’aurait pas pris en compte le fait qu’il consulte un psychologue depuis début janvier 2023. Ce grief s’avère infondé. Il ressort tout d’abord clairement des constatations de l’expert psychiatre que « [le recourant] évoque également une période de stress et [qu’] il est orienté par Trajectoire à Genève vers un psychologue qu’il consulte sur quelques entretiens de [février à juin] 2023. Il a lui-même stoppé le suivi, il n’a jamais eu de psychiatre […] » ( cf . dossier AI, doc. 29, p. 182). En second lieu, le recourant n’explique pas en quoi ce suivi psychologique remettrait en question les conclusions de l’expert psychiatre O______.</w:t>
      </w:r>
    </w:p>
    <w:p>
      <w:r>
        <w:rPr>
          <w:b/>
        </w:rPr>
        <w:t>E. 9.6</w:t>
      </w:r>
    </w:p>
    <w:p>
      <w:r>
        <w:t>Enfin, le recourant fait valoir en substance qu’il est soutenu par l’Hospice général depuis 2021, en raison d’une incapacité de travail médicalement attestée et de l’épuisement de son droit aux indemnités journalières de l’assurance-chômage en juin 2021. Il en conclut que les taux d’activité exigibles retenus par les experts (100% de janvier 2018 à décembre 2022 et 100% depuis fin juin 2023) seraient erronés. Cette objection ne saurait pas non plus être suivie. On relève tout d’abord que le raisonnement proposé, peu développé, se fonde sur une incapacité de travail attestée par un médecin soit, dans le présent contexte, un avis différent de celui des experts concernant une même période de la maladie et de son évolution. Or, ceci ne suffit pas en soi pour remettre en cause le rapport d’expertise (ci-dessus : consid. 6.3.5). On rappellera ensuite que l’assurance-chômage et l’assurance-invalidité ne se réfèrent pas au même marché du travail et ne font pas dépendre le droit aux prestations des mêmes conditions ( cf . ci-dessus : consid. 5.2.2), ce point étant également valable pour les prestations fournies par l’Hospice général. Le recourant ne saurait donc tirer argument de l’aide sociale que cette institution lui verse pour en conclure que l’appréciation de la capacité de travail par les experts mandatés par l’OAI serait erronée.</w:t>
      </w:r>
    </w:p>
    <w:p>
      <w:r>
        <w:rPr>
          <w:b/>
        </w:rPr>
        <w:t>E. 9.7</w:t>
      </w:r>
    </w:p>
    <w:p>
      <w:r>
        <w:t>Il résulte de ce qui précède que les arguments invoqués par le recourant ne permettent pas de mettre en doute les conclusions du rapport d’expertise. Partant, il convient de retenir qu’il est établi, au degré de la vraisemblance prépondérante requise, que les atteintes présentées par l’intéressé ont réduit sa capacité de travail de 100 à 50% de janvier à juin 2023, soit durant six mois après le dépôt de sa demande en octobre 2022. Compte tenu du recouvrement d’une capacité de travail pleine et entière dans l’activité habituelle – qui est par ailleurs adaptée – depuis fin juin 2023, le recourant ne saurait prétendre à une rente d’invalidité. En effet, il ne remplit pas la condition de l’incapacité de travail d’au moins 40% en moyenne durant une année sans interruption notable ( cf . art. 28 al. 1 let. b LAI et 29 ter RAI), étant donné qu’en l’occurrence, cette incapacité a connu, dès fin juin 2023, une interruption qui était toujours d’actualité au moment de la décision litigieuse ( cf . ci-dessus : consid. 9.4 in fine ). Dans ces conditions, la question de savoir si le recourant présentait, au terme du délai d’attente d’une année, un taux d’invalidité de 40% au moins ( cf . art. 28 al. 1 let. c. LAI) n’a pas besoin d’être examinée. Le recours est rejeté.</w:t>
      </w:r>
    </w:p>
    <w:p>
      <w:r>
        <w:rPr>
          <w:b/>
        </w:rPr>
        <w:t>E. 10</w:t>
      </w:r>
    </w:p>
    <w:p>
      <w:r>
        <w:t>Bien que la procédure ne soit pas gratuite en matière d’assurance-invalidité ( cf . art. 69 al. 1 bis LAI), il y a lieu en l’espèce de renoncer à la perception d’un émolument, le recourant étant au bénéfice de l’assistance juridique (art. 12 al. 1 du règlement sur les frais, émoluments et indemnités en procédure administrative du 30 juillet 1986 –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