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A/3590/2024 vom 17. April 2025</w:t>
      </w:r>
    </w:p>
    <w:p>
      <w:r>
        <w:t>GE Cour de justice, 2025-04-17, FR</w:t>
      </w:r>
    </w:p>
    <w:p>
      <w:r>
        <w:rPr>
          <w:b/>
        </w:rPr>
        <w:t xml:space="preserve">Quelle: </w:t>
      </w:r>
      <w:r>
        <w:t>https://mcp.opencaselaw.ch/entscheid/ge_gerichte_A_3590_2024</w:t>
      </w:r>
    </w:p>
    <w:p>
      <w:r>
        <w:t>FR: GE_GERICHTE A/3590/2024 du 17 avril 2025</w:t>
      </w:r>
    </w:p>
    <w:p>
      <w:r>
        <w:t>IT: GE_GERICHTE A/3590/2024 del 17 aprile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droit de la recourante à des prestations complémentaires, singulièrement sur les montants retenus par l'intimé au titre de la fortune et des biens dessaisis.</w:t>
      </w:r>
    </w:p>
    <w:p>
      <w:r>
        <w:rPr>
          <w:b/>
        </w:rPr>
        <w:t>E. 3.1</w:t>
      </w:r>
    </w:p>
    <w:p>
      <w:r>
        <w:t>Les dispositions de la LPGA s’appliquent aux prestations complémentaires fédérales (ci-après : PCF) à moins que la LPC n’y déroge expressément (art. 1 al. 1 LPC). En matière de prestations complémentaires cantonales (ci-après : PCC), la LPC et ses dispositions d’exécution fédérales et cantonales, ainsi que la LPGA et ses dispositions d’exécution, sont applicables par analogie en cas de silence de la législation cantonale (art. 1A LPCC). 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prestations complémentaires (arrêt du Tribunal fédéral 9C_329/2023 du 21 août 2023 consid. 4.1). En l’occurrence, le droit aux prestations complémentaires est né postérieurement au 1 er janvier 2021. Par conséquent, les dispositions légales applicables seront citées dans leur nouvelle teneur.</w:t>
      </w:r>
    </w:p>
    <w:p>
      <w:r>
        <w:rPr>
          <w:b/>
        </w:rPr>
        <w:t>E. 3.2</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l'assurance-invalidité (ci-après : AI) ou perçoivent des indemnités journalières de l’AI sans interruption pendant six mois au moins, conformément à l'art. 4 al. 1 let. c LPC. S'agissant de la notion de droit propre à une rente, elle doit être interprétée de la même manière que dans l'AVS. Ainsi, l'invalide ayant droit à une rente de l'AI ou qui pourrait prétendre à son octroi (art. 4 al. 1 let. d LPC) possède un droit autonome aux prestations complémentaires. Cela n'est en revanche pas le cas pour les enfants et pour la personne pour laquelle un assuré perçoit une rente complémentaire, laquelle n'a aucun droit propre à des prestations complémentaires (hormis l'hypothèse de la séparation ou du divorce) (Michel VALTERIO, Commentaire de la loi fédérale sur les prestations complémentaires à l'AVS et à l'AI, 2015, n° 10 ad art. 4). Les prestations complémentaires fédérales se composent de la prestation complémentaire annuelle et du remboursement des frais de maladie et d’invalidité (art. 3 al. 1 LPC).</w:t>
      </w:r>
    </w:p>
    <w:p>
      <w:r>
        <w:rPr>
          <w:b/>
        </w:rPr>
        <w:t>E. 3.3</w:t>
      </w:r>
    </w:p>
    <w:p>
      <w:r>
        <w:t>Conformément à l’art. 9a al. 1 LPC, les personnes dont la fortune nette est inférieure aux seuils suivants ont droit à des prestations complémentaires : CHF 100’000.- pour les personnes seules (let. a) ; CHF 200'000.- pour les couples (let. b) ; CHF 50'000.- pour les enfants ayant droit à une rente d’orphelin ou donnant droit à une rente pour enfant de l’AVS ou de l’AI. Les parts de fortune visées à l’art. 11a al. 2 à 4 LPC font partie de la fortune nette au sens de l’al. 1 (art. 9a al. 3 LPC). Il découle de cette nouvelle disposition légale, appliquée a contrario , que le droit même à des PCF est désormais exclu pour les personnes assurées dont la fortune nette dépasse l'un de ces seuils fixés à l'art. 9a LPC, soit le seuil de CHF 100'000.- dans le cas d’espèce de la recourante qui vit seule.</w:t>
      </w:r>
    </w:p>
    <w:p>
      <w:r>
        <w:rPr>
          <w:b/>
        </w:rPr>
        <w:t>E. 3.4</w:t>
      </w:r>
    </w:p>
    <w:p>
      <w:r>
        <w:t>En vertu de l'art. 11 al. 1 LPC, les revenus déterminants comprennent notamment : deux tiers des ressources en espèces ou en nature provenant de l’exercice d’une activité lucrative, pour autant qu’elles excèdent annuellement CHF 1'000.- pour les personnes seules (let. a) ;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l’AI ;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 les rentes, pensions et autres prestations périodiques, y compris les rentes de l’AVS et de l’AI (let. d). Sont déterminants pour le calcul de la PC annuelle les revenus obtenus au cours de l’année civile, parallèlement aux revenus probables convertis en revenu annuel, et l’état de la fortune au 1 er janvier de l’année pour laquelle la prestation est servie (DPC ch. 3413.01).</w:t>
      </w:r>
    </w:p>
    <w:p>
      <w:r>
        <w:rPr>
          <w:b/>
        </w:rPr>
        <w:t>E. 3.5</w:t>
      </w:r>
    </w:p>
    <w:p>
      <w:r>
        <w:t>S’agissant des prestations complémentaires cantonales, y ont droit les personnes dont le revenu annuel déterminant n’atteint pas le revenu minimum cantonal d’aide sociale applicable (art. 4 LPCC). Dans un arrêt de principe, la chambre de céans a retenu que le seuil de fortune déterminant pour l’octroi des prestations complémentaires fédérales en vigueur depuis le 1 er janvier 2021 est également applicable en matière de prestations complémentaires cantonales ( ATAS/521/2023 du 29 juin 2023 consid. 12.5), soit le seuil de CHF 100'000.- dans le cas d’espèce d’une personne vivant seule.</w:t>
      </w:r>
    </w:p>
    <w:p>
      <w:r>
        <w:rPr>
          <w:b/>
        </w:rPr>
        <w:t>E. 4.1</w:t>
      </w:r>
    </w:p>
    <w:p>
      <w:r>
        <w:t>La réforme des prestations complémentaires a introduit un nouvel art. 11a LPC, relatif à la renonciation à des revenus ou parts de fortune, qui est entré en vigueur le 1 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100'000.-, la limite est de CHF 10'000.- par année, et que le Conseil fédéral règle les modalités, en définissant en particulier la notion de « motif important » (al. 3). L'al. 3 s'applique aux bénéficiaires d'une rente de vieillesse de l'AVS également pour les dix années qui précèdent la naissance du droit à la rente (al. 4). Selon l'al. 3 des dispositions transitoires de la modification du 22 mars 2019, l'art. 11a al. 3 et 4 LPC ne s'applique qu'à la fortune qui a été dépensée après l'entrée en vigueur de la présente modification (arrêt du Tribunal fédéral 9C_329/2023 du 21 août 2023 consid. 4.2). Selon l’art. 17b de l'ordonnance sur les prestations complémentaires à l’assurance‑vieillesse, survivants et invalidité du 15 janvier 1971 (OPC‑AVS/AI ‑ RS 831.301), entré en vigueur le 1 er janvier 2021, il y a dessaisissement de fortune lorsqu’une personne aliène des parts de fortune sans obligation légale et que la contre-prestation n’atteint pas au moins 90% de la valeur de la prestation (let. a) ou lorsqu’une personne a consommé, au cours de la période considérée, une part de fortune excédant ce qui aurait été admis sur la base de l’art. 11a al. 3 LPC (let. b). Si un dessaisissement de fortune a eu lieu au cours de la période considérée en raison de l’aliénation de parts de fortune, au sens de l’art. 17b let. a OPC-AVS/AI, le montant des parts de fortune dessaisies, réduit de CHF 10'000.- par année (art. 17e al. 1 OPC-AVS/AI) doit être ajouté à la fortune effective pour la détermination de la consommation admise (DPC ch. 3533.10). Selon l'art. 17c OPC-AVS/AI, le montant du dessaisissement, en cas d’aliénation, correspond à la différence entre la valeur de la prestation et la valeur de la contre-prestation. Selon l’art. 17d al. 1 et 2 OPC-AVS/AI, le montant du dessaisissement en cas de consommation excessive de la fortune correspond à la différence entre la consommation effective de la fortune et la consommation admise pour la période considérée (al. 1). La consommation admise de la fortune est calculée en appliquant à chaque année de la période considérée la limite de la consommation de la fortune autorisée à l’art. 11a al. 3 LPC et en additionnant les montants annuels ainsi obtenus (al. 2). Selon l’art. 17e OPC-AVS/AI, le montant de la fortune qui a fait l’objet d’un dessaisissement au sens de l’art. 11a al. 2 et 3 LPC et qui doit être pris en compte dans le calcul de la prestation complémentaire est réduit chaque année de CHF 10'000 (al. 1). Le montant de la fortune au moment du dessaisissement doit être reporté tel quel au 1 er janvier de l’année suivant celle du dessaisissement pour être ensuite réduit chaque année (al. 2). Est déterminant pour le calcul de la prestation complémentaire annuelle le montant réduit de la fortune au 1 er janvier de l’année pour laquelle la prestation est servie (al. 3).</w:t>
      </w:r>
    </w:p>
    <w:p>
      <w:r>
        <w:rPr>
          <w:b/>
        </w:rPr>
        <w:t>E. 4.2</w:t>
      </w:r>
    </w:p>
    <w:p>
      <w:r>
        <w:t>Pour les bénéficiaires d’une rente de survivants de l’AVS ou d’une rente de l’AI, la période à prendre en considération commence le 1 er janvier de l’année qui suit la naissance du droit à la rente, mais au plus tôt le 1 er janvier 2021 (DPC ch. 3533.04). La période à prendre en considération se termine le 31 décembre de l’année précédant l’année civile pour laquelle le calcul de la prestation complémentaire est effectué (DPC ch. 3533.07). S'agissant des conditions relatives à la fortune, prévues, depuis le 1 er janvier 2021, par le nouvel art. 9a al. 1 LPC, le Tribunal fédéral a, dans un cas, considéré, après avoir rappelé que les éléments auxquels une personne a renoncé font également partie de la fortune ( cf. Directives concernant les prestations complémentaires à l'AVS et à l'AI (DPC) de l'OFAS, valables depuis le 1 er avril 2011, état au 1 er janvier 2023, ch. 2512.02), qu'il y a lieu de prendre en compte dans la détermination de la fortune nette pour l'année 2022, les montants de la fortune dont les intéressés s’étaient dessaisis en 2005 et en 2013, sous déduction de CHF 10'000.- par année (arrêt du Tribunal fédéral 9C_329/2023 du 21 août 2023 consid. 5.3).</w:t>
      </w:r>
    </w:p>
    <w:p>
      <w:r>
        <w:rPr>
          <w:b/>
        </w:rPr>
        <w:t>E. 5.1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5.2</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avec une vraisemblance prépondérante que ses dépenses ont été effectuées moyennant contre-prestation adéquate ne peut pas se prévaloir d'une diminution (supérieure à la moyenne) correspondante de sa fortune, mais doit accepter que l'on s'enquière des motifs de cette diminution et, en l'absence de la preuve requise, que l'on tienne compte d'une fortune hypothétique (ATF 146 V 306 consid. 2.3.2 ; arrêts du Tribunal fédéral P 65/04 du 29 août 2005 consid. 5.3.2 ; 9C_377/2021 du 22 octobre 2021 consid. 3.3 et les références ; 9C_246/2022 du 6 décembre 2022 consid. 3.4).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(ATF 117 V 261 consid. 3b ; 108 V 229 consid. 2 ; arrêt du Tribunal fédéral P 59/02 du 28 août 2003 consid. 3.3 et les références).</w:t>
      </w:r>
    </w:p>
    <w:p>
      <w:r>
        <w:rPr>
          <w:b/>
        </w:rPr>
        <w:t>E. 6</w:t>
      </w:r>
    </w:p>
    <w:p>
      <w:r>
        <w:t>En l'espèce, la recourante admet avoir bénéficié d’une situation financière confortable et d’une fortune conséquente, qu’elle a dépensé avec une certaine « désinvolture », pour reprendre ses propres termes.</w:t>
      </w:r>
    </w:p>
    <w:p>
      <w:r>
        <w:rPr>
          <w:b/>
        </w:rPr>
        <w:t>E. 6.1</w:t>
      </w:r>
    </w:p>
    <w:p>
      <w:r>
        <w:t>Il est indéniable que la situation financière de la recourante s’est considérablement péjorée après la vente de la société, suivie de son licenciement. Il ressort des griefs de la recourante que cette dernière considère avoir accordé beaucoup de son temps à son entreprise et à sa communauté, par le biais de son militantisme politique et de n’en être pas remerciée aujourd’hui, alors qu’elle se trouve dans une situation financière difficile. Ce grief, qui peut trouver un certain appui dans des considérations d’ordre moral, ne peut toutefois être retenu lorsqu’il s’agit de déterminer si une personne a droit à des prestations complémentaires, ces dernières dépendant principalement de considérations financières, indépendamment de l’activité que l’intéressée a pu déployer au service de la société. La recourante admet s’être comportée de façon désinvolte avec une partie des biens qui lui appartenaient et s’en être dessaisis, sans contrepartie, au gré de sa générosité. Sous l’angle des prestations complémentaires, ce comportement, bien que généreux, est sanctionné, dès lors que les biens dont on s’est dessaisis sans contrepartie sont considérés comme n’ayant pas quitté le patrimoine de la personne.</w:t>
      </w:r>
    </w:p>
    <w:p>
      <w:r>
        <w:rPr>
          <w:b/>
        </w:rPr>
        <w:t>E. 6.2</w:t>
      </w:r>
    </w:p>
    <w:p>
      <w:r>
        <w:t>Sur le plan des calculs opérés par le SCP, la recourante ne les conteste pas en tant que tels et ils n’apparaissent pas non plus contestables ; on relèvera qu’après avoir pris en compte certaines dépenses, afin de les exclure du montant du dessaisissement, le montant de ce dernier reste encore plus de neuf fois supérieur au seuil de CHF 100'000.- fixé par la loi pour une personne seule.</w:t>
      </w:r>
    </w:p>
    <w:p>
      <w:r>
        <w:rPr>
          <w:b/>
        </w:rPr>
        <w:t>E. 7.1</w:t>
      </w:r>
    </w:p>
    <w:p>
      <w:r>
        <w:t>Compte tenu de ce qui précède, la chambre de céans n’a d’autre choix que de rejeter le recours.</w:t>
      </w:r>
    </w:p>
    <w:p>
      <w:r>
        <w:rPr>
          <w:b/>
        </w:rPr>
        <w:t>E. 7.2</w:t>
      </w:r>
    </w:p>
    <w:p>
      <w:r>
        <w:t>Pour le surplus, en l’absence de loi spéciale prévoyant des frais judiciaires,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