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A/3584/2022 vom 28. Februar 2023</w:t>
      </w:r>
    </w:p>
    <w:p>
      <w:r>
        <w:t>GE Cour de justice, 2023-02-28, FR</w:t>
      </w:r>
    </w:p>
    <w:p>
      <w:r>
        <w:rPr>
          <w:b/>
        </w:rPr>
        <w:t xml:space="preserve">Quelle: </w:t>
      </w:r>
      <w:r>
        <w:t>https://mcp.opencaselaw.ch/entscheid/ge_gerichte_A_3584_2022</w:t>
      </w:r>
    </w:p>
    <w:p>
      <w:r>
        <w:t>FR: GE_GERICHTE A/3584/2022 du 28 février 2023</w:t>
      </w:r>
    </w:p>
    <w:p>
      <w:r>
        <w:t>IT: GE_GERICHTE A/3584/2022 del 28 febbraio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recourant conteste tout manquement à son devoir de diligence, reconnaissant tout au plus avoir commis une simple négligence en omettant de déposer pour son ancienne cliente un mémoire de réponse à l’appel formé par C______. ![endif]&gt;![if&gt;</w:t>
      </w:r>
    </w:p>
    <w:p>
      <w:r>
        <w:rPr>
          <w:b/>
        </w:rPr>
        <w:t>E. 2.1</w:t>
      </w:r>
    </w:p>
    <w:p>
      <w:r>
        <w:t>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6.1).![endif]&gt;![if&gt;</w:t>
      </w:r>
    </w:p>
    <w:p>
      <w:r>
        <w:rPr>
          <w:b/>
        </w:rPr>
        <w:t>E. 2.2</w:t>
      </w:r>
    </w:p>
    <w:p>
      <w:r>
        <w:t>Aux termes de l'art. 12 let. a LLCA, l'avocat exerce sa profession avec soin et diligence. Cette disposition constitue une clause générale, visant le soin et la diligence de l'avocat dans l'exercice de son activité professionnelle. L'obligation de diligence imposée à l'art. 12 let. a LLCA est directement déduite de l'art. 398 al. 2 CO ; elle interdit à l'avocat d'entreprendre des actes qui pourraient nuire aux intérêts de son client (Walter FELLMANN, Kommentar zum Anwaltsgesetz, 2011, n. 25 ad art. 12 LLCA) et lui impose un devoir de fidélité et de loyauté (ATF 135 II 145 consid. 9.1 ; arrêt du Tribunal fédéral 1B_358/2014 du 12 décembre 2014 consid. 3.1 et les références citées).![endif]&gt;![if&gt;</w:t>
      </w:r>
    </w:p>
    <w:p>
      <w:r>
        <w:rPr>
          <w:b/>
        </w:rPr>
        <w:t>E. 2.3</w:t>
      </w:r>
    </w:p>
    <w:p>
      <w:r>
        <w:t>Toute violation du devoir de diligence contractuel n'implique pas l'existence d'un manquement de nature disciplinaire au sens de l'art. 12 let. a LLCA. Cette disposition suppose l'existence d'un manquement significatif aux devoirs de la profession (ATF 144 II 473 consid. 4). L'avocat ne risque une sanction disciplinaire que lorsqu'il viole de manière intentionnelle ou gravement négligente son devoir de diligence (François BOHNET, Droit des professions judiciaires, 2014, p. 41 n. 39). De même, l'avocat doit disposer d'une organisation adéquate lui permettant d'accomplir sa mission. Il doit notamment recevoir à temps les communications destinées à ses clients et respecter les délais fixés par la loi ou l'autorité, quelles que soient les circonstances. L'observation des délais fait en effet partie des devoirs de base de l'avocat ; le non-respect de ce devoir constitue une erreur inexcusable (Benoît CHAPPUIS, La profession d'avocat, Tome I, Le cadre légal et les principes essentiels, 2016, p. 54 et les références citées ; Benoît CHAPPUIS, La profession d'avocat, Tome II, La pratique du métier : De la gestion d'une étude et la conduite des mandats à la responsabilité de l'avocats, 2017, p. 8 ss).![endif]&gt;![if&gt;</w:t>
      </w:r>
    </w:p>
    <w:p>
      <w:r>
        <w:rPr>
          <w:b/>
        </w:rPr>
        <w:t>E. 2.4</w:t>
      </w:r>
    </w:p>
    <w:p>
      <w:r>
        <w:t>L'avocat a aussi un devoir d'information envers le client. Ce devoir a des fondements juridiques divers – LLCA, CO, règles déontologiques – et présente des facettes multiples ; il constitue une des obligations les plus importantes de l'avocat. La LLCA n'institue cependant un devoir d'information exprès qu'à l'art. 12 let. i LLCA qui oblige l'avocat à renseigner son client sur son mode de facturation et le montant des honoraires. Pour le reste, c'est au devoir général de diligence qu'il faut se référer. En vertu de ce dernier, l'avocat est tenu d'informer son client sur l'ensemble des risques liés à son affaire, en particulier les coûts et frais (notamment judiciaires et administratifs) qui en découleront. Il doit l'aider à apprécier les chances de succès du mandat qui lui est confié, une information exhaustive sur les risques encourus étant due. L'avocat est en tout temps tenu à un devoir de reddition de comptes, particulièrement concernant les frais et honoraires (Benoît CHAPPUIS, op. cit., Tome I, pp. 54-55).![endif]&gt;![if&gt;</w:t>
      </w:r>
    </w:p>
    <w:p>
      <w:r>
        <w:rPr>
          <w:b/>
        </w:rPr>
        <w:t>E. 2.5</w:t>
      </w:r>
    </w:p>
    <w:p>
      <w:r>
        <w:t>Comme tout mandataire, l'avocat a ainsi le devoir général de rendre compte à son client à première demande de sa part ; cette reddition de comptes s'étend aussi bien à la conduite de son mandat et à l'évolution du dossier proprement dit qu'à toute circonstance susceptible de concerner son client (Michel VALTICOS in Michel VALTICOS/Christian REISER/Benoît CHAPPUIS/François BOHNET [éd.], Loi sur les avocats : commentaire de la loi fédérale sur la libre circulation des avocats [loi sur les avocats, LLCA], 2 ème éd., 2022, n. 29 ad art. 12 ; ATA/820/2016 du 4 octobre 2016 consid. 5d).![endif]&gt;![if&gt;</w:t>
      </w:r>
    </w:p>
    <w:p>
      <w:r>
        <w:rPr>
          <w:b/>
        </w:rPr>
        <w:t>E. 2.6</w:t>
      </w:r>
    </w:p>
    <w:p>
      <w:r>
        <w:t>La facturation d'honoraires à un client au bénéfice de l'assistance judiciaire, même si le montant reçu de l'État ne couvre pas l'entier des honoraires en question, constitue une violation des devoirs professionnels qui mérite d'être sanctionnée disciplinairement (arrêts du Tribunal fédéral 2C_379/2009 du 7 décembre 2009 consid. 3.1; 2A.183/2004 du 26 juillet 2004 consid. 2.3).![endif]&gt;![if&gt;</w:t>
      </w:r>
    </w:p>
    <w:p>
      <w:r>
        <w:rPr>
          <w:b/>
        </w:rPr>
        <w:t>E. 2.7</w:t>
      </w:r>
    </w:p>
    <w:p>
      <w:r>
        <w:t>Dans la mesure où le client est susceptible de satisfaire aux exigences de l’assistance juridique ou d’une assurance de protection juridique, il appartient à l’avocat de l’en informer, sans l’en dissuader ou l’inciter à lui confier un mandat onéreux (Michel VALTICOS, op. cit., n. 21 à 23 ad art. 12 LLCA). ![endif]&gt;![if&gt;</w:t>
      </w:r>
    </w:p>
    <w:p>
      <w:r>
        <w:rPr>
          <w:b/>
        </w:rPr>
        <w:t>E. 2.8</w:t>
      </w:r>
    </w:p>
    <w:p>
      <w:r>
        <w:t>La LLCA ne contient aucune disposition limitant expressément la faculté de l’avocat d’exercer un droit de rétention sur les biens qu’il détient pour le compte de son client, question qui relève donc essentiellement du droit civil. S’il est reconnu sur le plan civil, le droit de compenser n’est pas absolu et selon les circonstances, son exercice peut constituer une violation de la règle générale du devoir de diligence de l’art. 12 let. a LLCA. Doctrine et jurisprudence s’accordent en effet à refuser à l’avocat le droit de compenser lorsque, de sa connaissance de la situation patrimoniale de son mandant, il doit déduire que la compensation qu’il exercerait priverait celui-ci des moyens qui lui sont nécessaires pour son entretien ou celui de sa famille. La faculté de compenser ses honoraires avec la dette de l’avocat envers le client est en outre liée à son devoir d’information sur les modalités de facturation et de paiement de ses honoraires, tel que prescrit par l’art. 12 let. i LLCA. Il doit en tout cas s’en ouvrir clairement à ses clients en début de mandat et non procéder à une brusque compensation au terme de ce dernier, au risque de mettre ses clients dans une situation financière difficile (Benoît CHAPPUIS, op. cit., Tome I, 2013, p. 60-61 ; Michel VALTICOS, in op. cit., n. 270 et 271 ad art. 12 LLCA ; ATA/569/2014 du 29 juillet 2014 consid. 5d ; ATA/288/2014 du 29 avril 2014).![endif]&gt;![if&gt;</w:t>
      </w:r>
    </w:p>
    <w:p>
      <w:r>
        <w:rPr>
          <w:b/>
        </w:rPr>
        <w:t>E. 2.9</w:t>
      </w:r>
    </w:p>
    <w:p>
      <w:r>
        <w:t>La LLCA définit de manière exhaustive les règles professionnelles auxquelles les avocats sont soumis. Les règles déontologiques conservent toutefois une portée juridique en permettant de préciser ou d'interpréter les règles professionnelles, dans la mesure où elles expriment une opinion largement répandue au plan national (ATF 136 III 296 consid. 2.1 ; 131 I 223 consid. 3.4). Dans le but d'unifier les règles déontologiques sur tout le territoire de la Confédération, la Fédération Suisse des Avocats (FSA) a précisément édicté le Code suisse de déontologie (ci-après: CSD); consultable sur http://www.sav-fsa.ch, entré en vigueur le 1 er juillet 2005 et modifié le 22 juin 2012.![endif]&gt;![if&gt; À teneur de l'art. 1 CSD, l'avocat exerce sa profession, avec soin et diligence, et dans le respect de l'ordre juridique. Il s'abstient de toute activité susceptible de mettre en cause la confiance mise en lui. L’art. 17 du code suisse de déontologie prescrit en outre que l’avocat fait en sorte que le justiciable dans le besoin puisse bénéficier de l’assistance judiciaire. Il en informe son client. Sauf réglementation légale contraire, il ne peut demander aucun honoraire en sus de celui que fixe l’autorité. Selon l’art. 18 CSD, lors de l’acceptation du mandat, l’avocat informe son client des principes de fixation des honoraires.</w:t>
      </w:r>
    </w:p>
    <w:p>
      <w:r>
        <w:rPr>
          <w:b/>
        </w:rPr>
        <w:t>E. 2.10</w:t>
      </w:r>
    </w:p>
    <w:p>
      <w:r>
        <w:t>Selon l’art. 15 RAJ, le conseil juridique nommé ne peut facturer à la personne bénéficiaire ni provisions ni honoraires (al. 1). L'Etat l'indemnise pour son activité (al. 2). En cas de rejet ou de retrait avec effet rétroactif de l'assistance juridique, la rémunération du conseil juridique incombe à la personne requérante. Le conseil juridique nommé est indemnisé par l'Etat s'il rend vraisemblable l'impossibilité, sans faute de sa part, d'obtenir cette rémunération (al. 3).![endif]&gt;![if&gt;</w:t>
      </w:r>
    </w:p>
    <w:p>
      <w:r>
        <w:rPr>
          <w:b/>
        </w:rPr>
        <w:t>E. 2.11</w:t>
      </w:r>
    </w:p>
    <w:p>
      <w:r>
        <w:t>La chambre administrative examine librement si le comportement incriminé contrevient à l’art. 12 let. a LLCA (art. 67 LPA ; arrêt du Tribunal fédéral 2P.318/2006 du 27 juillet 2007 consid. 12.1 ; ATA/132/2014 précité). ![endif]&gt;![if&gt;</w:t>
      </w:r>
    </w:p>
    <w:p>
      <w:r>
        <w:rPr>
          <w:b/>
        </w:rPr>
        <w:t>E. 3</w:t>
      </w:r>
    </w:p>
    <w:p>
      <w:r>
        <w:t>Le recourant conteste avoir commis une faute en ne clarifiant pas en début de mandat la question du paiement de ses honoraires relatifs à la procédure pénale de sa cliente.![endif]&gt;![if&gt; Il a expliqué, à cet égard, qu’il n’avait pas rendu sa cliente attentive au fait qu’elle pouvait solliciter le bénéfice de l’AJ pour la procédure pénale, car il était parti de l’idée que ses honoraires étaient couverts par l’assurance protection juridique que celle-ci lui avait indiqué avoir conclue. Or, il n’a pas vérifié auprès de ladite assurance que ses honoraires relatifs à la procédure pénale seraient intégralement pris en charge. Contrairement à ce qu’il laisse entendre, il ne pouvait, sans aucune vérification de sa part à ce sujet, considérer qu’il aurait appartenu à sa cliente de se renseigner auprès de son assurance. Au contraire et quand bien même il soutient que sa première intervention en faveur de sa cliente avait été de l’assister, dans l’urgence, à son audition par la police, il lui incombait de clarifier la question de ses honoraires en début de mandat. Ainsi, il lui incombait d’obtenir soit directement de l’assurance protection juridique soit par le biais de sa cliente la confirmation de la couverture, respectivement l’étendue de celle-ci, de ses honoraires pour la procédure pénale. À défaut d’une couverture complète, ce qu’au demeurant la seule lecture du contrat d’assurance aurait permis de constater, il lui appartenait de proposer à sa cliente de requérir le bénéfice de l’AJ. Cette aide a d’ailleurs été accordée pour les procédures civiles, de sorte que l’allégation – qui plus est non étayée – de moyens financiers dont disposerait sa cliente pour assumer elle-même les honoraires d’avocat n’est pas vraisemblable. Le recourant a d’ailleurs, dans sa première détermination adressée à la commission, exposé que sa cliente était désargentée. En outre, s’il avait estimé qu’elle ne remplissait pas la condition de l’impécuniosité, la question pourrait se poser de savoir si le fait de requérir cette aide étatique en cachant l’existence de biens ou d’une fortune n’aurait pas également engagé sa responsabilité disciplinaire. Cette question ne fait cependant pas l’objet du litige. En ne clarifiant pas la question de la prise en charge de ses honoraires dès l’acceptation du mandat relatif à la cause pénale, notamment en ne vérifiant pas l’étendue de la couverture de ceux-ci par l’assurance protection juridique et en n’informant, fort de la limite prévue par ce contrat, pas sa cliente de la possibilité de requérir l’AJ, le recourant doit se voir reprocher d’avoir manqué à son devoir de diligence, notamment à l’art. 12 let. i LLCA.</w:t>
      </w:r>
    </w:p>
    <w:p>
      <w:r>
        <w:rPr>
          <w:b/>
        </w:rPr>
        <w:t>E. 3.1</w:t>
      </w:r>
    </w:p>
    <w:p>
      <w:r>
        <w:t>Le recourant conteste avoir commis une faute disciplinaire en ayant réclamé à sa cliente des honoraires pour des procédures pour lesquelles l’AJ avait été accordée.![endif]&gt;![if&gt; Le recourant a été nommé d’office pour la défense des intérêts de sa cliente dans les procédures C/1______2017 et C/3______2020. Dans sa détermination devant la commission, il a reconnu avoir omis de demander l’extension de l’AJ et indiqué qu’il renonçait ainsi à lui demander le paiement des honoraires non couverts par l’AJ. Il n’a cependant pas précisé à quelle procédure se rapportait sa renonciation à réclamer les honoraires en suspens. Quoiqu’il en soit, il est manifeste que faute d’avoir requis à temps la prise en charge de ses honoraires par l’AJ, respectivement l’extension de l’aide étatique, il ne pouvait mettre ceux-ci à la charge de sa cliente, qui n’avait pas à pâtir de son inaction, respectivement de son action tardive. Par ailleurs, il ressort du libellé clair de l’art. 15 RAJ, que l’avocat nommé d’office ne peut facturer à la personne bénéficiaire ni provisions ni honoraires. Compte tenu des décisions d’octroi de l’AJ dans les procédures civiles précitées, le recourant ne pouvait, en sus, réclamer à sa cliente les honoraires dépassant ceux que le service de l’AJ avait accepté de prendre en charge. En mettant ceux-ci néanmoins à la charge de sa cliente, le recourant a violé l’art. 15 RAJ et l’art. 12 let. a et g LLCA.</w:t>
      </w:r>
    </w:p>
    <w:p>
      <w:r>
        <w:rPr>
          <w:b/>
        </w:rPr>
        <w:t>E. 3.2</w:t>
      </w:r>
    </w:p>
    <w:p>
      <w:r>
        <w:t>Le recourant soutient qu’il était en droit d’opposer ses honoraires en souffrance en compensation avec la créance de sa cliente en remise du montant versé par C______.![endif]&gt;![if&gt; Il est, en premier lieu, observé que, comme cela vient d’être exposé, le recourant ne disposait pas d’une créance envers sa cliente. En outre, quand bien même tel serait le cas, les conditions strictes d’une compensation entre les honoraires et les fonds confiés de tiers n’étaient pas réalisées. D’une part, le recourant n’établit pas que cette possibilité avait été, d’emblée, convenue avec sa cliente. Il ressort, en effet, de son courriel du 9 novembre 2020, qui comportait la décision de taxation de l’AJ et son relevé d’activité, qu’il « proposait » à sa cliente de lui reverser 50% qu’il percevrait de C______. Dans son courriel du 17 novembre 2020 à sa cliente, se référant à celui du 9 novembre 2020, il a répété qu’il ressortait du décompte des heures effectuées annexé audit courriel « une très grosse différence » avec les sommes prises en charge par l’AJ et l’assurance protection juridique, de sorte qu’il avait « proposé » que la moitié de la somme recouvrée serve à payer les honoraires non couverts par l’AJ. Ils avaient ensuite eu un entretien téléphonique et elle n’avait soulevé aucune objection. Il lui rappelait son « engagement » pris à cet égard, tout en lui demandant, en cas d’accord avec la compensation, de le lui faire savoir dès réception de son courriel. Il ressort clairement des courriels précités du recourant que la possibilité d’une compensation n’a été évoquée que début novembre 2020 et non en début de mandat. Les deux courriels, suivis de la résiliation du mandat par la cliente le lendemain de la réception du second, démontrent également que le recourant n’avait pas obtenu le consentement de celle-ci à une compensation. D’autre part, le recourant, qui a invoqué devant la commission qu’il avait été convenu avec sa cliente, qui était désargentée, qu’il ne facturerait aucun honoraires pour la procédure pénale jusqu’à ce qu’elle revienne à meilleure fortune et qui avait requis et obtenu l’AJ pour les procédures civiles, ne soutient pas qu’avant de procéder à la compensation de sa créance en honoraires avec celle de sa cliente à son égard, il se serait enquis de l’évolution de la situation financière de cette dernière. La commission a ainsi retenu à juste titre que le recourant avait failli à son devoir d’information sur les modalités de facturation et de paiement de ses honoraires, tel que prescrit par l’art. 12 let. i LLCA, en procédant brusquement à la compensation de sa créance avec sa dette envers sa cliente.</w:t>
      </w:r>
    </w:p>
    <w:p>
      <w:r>
        <w:rPr>
          <w:b/>
        </w:rPr>
        <w:t>E. 3.3</w:t>
      </w:r>
    </w:p>
    <w:p>
      <w:r>
        <w:t>Enfin, le fait de ne pas avoir veillé au respect du délai pour répondre à l’appel formé par C______ dans la procédure prud’homale constitue à l’évidence un manquement au devoir de diligence de l’avocat. Ce manquement a privé l’employée d’exercer son droit d’être entendue devant les juges d’appel. Elle a, du fait de la négligence du recourant – que celui-ci reconnaît d’ailleurs –, aucunement pu s’exprimer dans la procédure d’appel, alors que son ancien employeur contestait tant le principe que la quotité de l’indemnité fixée par les juges de première instance. Comme l’a souligné la commission, la cliente a vu l’indemnité réduite de moitié en appel, sans avoir pu se déterminer sur les arguments développés en appel ; l’inaction de son conseil l’a ainsi privée de l’exercice d’un droit fondamental dans une procédure la concernant.![endif]&gt;![if&gt; Contrairement à ce que fait valoir l’avocat, il ne saurait s’exonérer de sa responsabilité disciplinaire en relevant que l’erreur avait été commise par son stagiaire et que la pandémie l’avait contraint au télétravail. En tant que maître de stage et titulaire du dossier pour lequel il avait été nommé d’office, il lui incombait personnellement de veiller au respect des délais légaux. Par ailleurs, il n’invoque ni n’établit aucune circonstance qui l’aurait empêché d’instruire et de surveiller son stagiaire afin que la réponse à l’appel soit formée dans les délais. Dans ces circonstances, le non-respect du délai de réponse dans la procédure d’appel prud’homale résulte d’une négligence grossière du recourant, constitutive d’un manquement à son devoir de diligence. En conséquence, c’est à juste titre que la commission a retenu pour l’ensemble de ces comportements une violation d’une certaine gravité des règles professionnelles, qui justifie le prononcé d'une sanction.</w:t>
      </w:r>
    </w:p>
    <w:p>
      <w:r>
        <w:rPr>
          <w:b/>
        </w:rPr>
        <w:t>E. 4</w:t>
      </w:r>
    </w:p>
    <w:p>
      <w:r>
        <w:t>Reste à examiner la proportionnalité de la sanction prononcée par la commission.![endif]&gt;![if&gt;</w:t>
      </w:r>
    </w:p>
    <w:p>
      <w:r>
        <w:rPr>
          <w:b/>
        </w:rPr>
        <w:t>E. 4.1</w:t>
      </w:r>
    </w:p>
    <w:p>
      <w:r>
        <w:t>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LLCA).![endif]&gt;![if&gt;</w:t>
      </w:r>
    </w:p>
    <w:p>
      <w:r>
        <w:rPr>
          <w:b/>
        </w:rPr>
        <w:t>E. 4.2</w:t>
      </w:r>
    </w:p>
    <w:p>
      <w:r>
        <w:t>L'avertissement est la sanction prévue la moins grave et est réservée aux cas bénins. L'amende fait partie des mesures disciplinaires d'importance moyenne et sanctionne en principe les manquements professionnels plus graves que le blâme. Elle présente un caractère plus répressif que l'avertissement et le blâme, en particulier lorsque son montant est élevé (Alain BAUER/Philippe BAUER in Commentaire LLCA, n. 64 ad art. 17 LLCA ; ATA/258/2021 précité consid. 9a).![endif]&gt;![if&gt;</w:t>
      </w:r>
    </w:p>
    <w:p>
      <w:r>
        <w:rPr>
          <w:b/>
        </w:rPr>
        <w:t>E. 4.3</w:t>
      </w:r>
    </w:p>
    <w:p>
      <w:r>
        <w:t>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 ATA/831/2022 précité consid. 7c ; ATA/519/2021 du 18 mai 2021 consid. 6c et les références citées).![endif]&gt;![if&gt;</w:t>
      </w:r>
    </w:p>
    <w:p>
      <w:r>
        <w:rPr>
          <w:b/>
        </w:rPr>
        <w:t>E. 4.4</w:t>
      </w:r>
    </w:p>
    <w:p>
      <w:r>
        <w:t>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(Alain BAUER/Philippe BAUER, op. cit., n. 25 ad art. 17 LLCA).![endif]&gt;![if&gt;</w:t>
      </w:r>
    </w:p>
    <w:p>
      <w:r>
        <w:rPr>
          <w:b/>
        </w:rPr>
        <w:t>E. 4.5</w:t>
      </w:r>
    </w:p>
    <w:p>
      <w:r>
        <w:t>Dans sa jurisprudence, la chambre administrative a confirmé le blâme prononcé à l’encontre d’une avocate (sans antécédents) ayant facturé à sa cliente des honoraires non retenus par l'AJ et ayant procédé à une compensation sans l'accord de sa cliente, dont elle connaissait la situation précaire, celle-ci suivant un plan de désendettement ( ATA/395/2015 du 28 avril 2015 consid. 6f). Elle a également confirmé le blâme sanctionnant l’avocat (sans antécédents) qui avait omis d’entreprendre les démarches pour que sa cliente, pour qui il avait déjà obtenu l’AJ dans le passé, bénéficie de celle-ci pour une autre procédure, respectivement omis d’en demander l’extension et avait procédé à une brusque compensation de ses honoraires avec des montants recouvrés pour sa cliente ( ATA/288/2014 du 29 avril 2014 consid. 5e).![endif]&gt;![if&gt;</w:t>
      </w:r>
    </w:p>
    <w:p>
      <w:r>
        <w:rPr>
          <w:b/>
        </w:rPr>
        <w:t>E. 4.6</w:t>
      </w:r>
    </w:p>
    <w:p>
      <w:r>
        <w:t>En l’espèce, le recourant estime que le principe de proportionnalité impliquerait de renoncer au prononcé d'une sanction disciplinaire, voire ne devrait aboutir qu'au prononcé d'un avertissement ou d’un blâme. Il souligne qu’il était habilité à réclamer les honoraires non couverts par l’AJ, que la situation financière de sa cliente n’était pas précaire, que le non-respect du délai dans la procédure d’appel relevait d’une simple négligence et qu’il n’avait, en 47 ans d’activité comme avocat, jamais été sanctionné disciplinairement.![endif]&gt;![if&gt; Tel qu'indiqué ci-dessus, le fait de ne pas avoir respecté le délai de réponse dans la procédure prud’homale d’appel a eu pour conséquence que sa cliente a vu l’indemnité due par son employeur réduite de moitié sans avoir pu s’exprimer devant les juges du second degré. Par ailleurs, la compensation opérée n’était pas admissible, n’ayant pas été convenue d’emblée mais ayant été proposée après que le recourant a reçu les décisions de taxation de l’AJ. En outre, le recourant a reconnu avoir omis de requérir l’extension de l’AJ à temps et ne pouvait, comme exposé plus haut, réclamer ensuite à sa mandante les honoraires non couverts par l’AJ. Ces manquements ne peuvent être qualifiés de bénins. Les violations du devoir d’information et de diligence commises par le recourant en lien avec la facturation et la compensation non admissibles se rapprochent de celles pour lesquelles la chambre administrative a confirmé le prononcé d’un blâme. Le recourant a toutefois également violé ses obligations professionnelles en ne respectant pas le délai de réponse dans la procédure d’appel prud’homale. Le cumul de ces manquements justifie ainsi de sanctionner de manière plus sévère le recourant, de sorte que le prononcé d’une amende ne se heurte pas au principe de la proportionnalité ni ne consacre un excès ou un abus du pouvoir d’appréciation de la commission. Le montant de l’amende demeure dans le bas de la fourchette prévue par l'art. 17 al. 1 let. c LLCA et tient dûment compte tant des manquements commis que du fait que le recourant, titulaire du brevet d’avocat depuis une très longue période, soit plus de 45 ans, ne présente pas d’antécédents disciplinaires. Pour ces motifs, la commission n'a pas excédé ni abusé de son pouvoir d'appréciation en infligeant une amende de CHF 3'000.- au recourant. Au vu de ce qui précède, le recours sera rejeté.</w:t>
      </w:r>
    </w:p>
    <w:p>
      <w:r>
        <w:rPr>
          <w:b/>
        </w:rPr>
        <w:t>E. 5</w:t>
      </w:r>
    </w:p>
    <w:p>
      <w:r>
        <w:t>Vu l’issue du litige, un émolument de CHF 1'000.- sera mis à la charge du recourant qui succombe et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