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A/3582/2023 vom 6. Dezember 2023</w:t>
      </w:r>
    </w:p>
    <w:p>
      <w:r>
        <w:t>GE Cour de justice, 2023-12-06, FR</w:t>
      </w:r>
    </w:p>
    <w:p>
      <w:r>
        <w:rPr>
          <w:b/>
        </w:rPr>
        <w:t xml:space="preserve">Quelle: </w:t>
      </w:r>
      <w:r>
        <w:t>https://mcp.opencaselaw.ch/entscheid/ge_gerichte_A_3582_2023</w:t>
      </w:r>
    </w:p>
    <w:p>
      <w:r>
        <w:t>FR: GE_GERICHTE A/3582/2023 du 6 décembre 2023</w:t>
      </w:r>
    </w:p>
    <w:p>
      <w:r>
        <w:t>IT: GE_GERICHTE A/3582/2023 del 6 dicembre 2023</w:t>
      </w:r>
    </w:p>
    <w:p>
      <w:pPr>
        <w:pStyle w:val="Heading2"/>
      </w:pPr>
      <w:r>
        <w:t>Erwägungen</w:t>
      </w:r>
    </w:p>
    <w:p>
      <w:r>
        <w:rPr>
          <w:b/>
        </w:rPr>
        <w:t>E. 1</w:t>
      </w:r>
    </w:p>
    <w:p>
      <w:r>
        <w:t>Prima facie , le recours est recevable (art. 132 al. 1 de la loi sur l'organisation judiciaire du 26 septembre 2010 - LOJ - E 2 05 ; art. 62 al. 1 let. a de la loi sur la procédure administrative du 12 septembre 1985 - LPA - E 5 10).![endif]&gt;![if&gt;</w:t>
      </w:r>
    </w:p>
    <w:p>
      <w:r>
        <w:rPr>
          <w:b/>
        </w:rPr>
        <w:t>E. 2</w:t>
      </w:r>
    </w:p>
    <w:p>
      <w:r>
        <w:t>Les décisions sur effet suspensif et mesures provisionnelles sont prises par la présidente, respectivement par la vice-présidente, ou en cas d’empêchement de celles‑ci, par un ou une juge (art. 21 al. 2 LPA ; 9 al. 1 du règlement interne de la chambre administrative du 20 juin 2023). ![endif]&gt;![if&gt;</w:t>
      </w:r>
    </w:p>
    <w:p>
      <w:r>
        <w:rPr>
          <w:b/>
        </w:rPr>
        <w:t>E. 3</w:t>
      </w:r>
    </w:p>
    <w:p>
      <w:r>
        <w:t>![endif]&gt;![if&gt;</w:t>
      </w:r>
    </w:p>
    <w:p>
      <w:r>
        <w:rPr>
          <w:b/>
        </w:rPr>
        <w:t>E. 3.1</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w:t>
      </w:r>
    </w:p>
    <w:p>
      <w:r>
        <w:rPr>
          <w:b/>
        </w:rPr>
        <w:t>E. 3.2</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![endif]&gt;![if&gt;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L’octroi de mesures provisionnelles présuppose l’urgence, à savoir que le refus de les ordonner crée pour l’intéressé la menace d’un dommage difficile à réparer (ATF 130 II 149 consid. 2.2 ; 127 II 132 consid. 3 = RDAF 2002 I 405 ; du 18 septembre 2018).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rPr>
          <w:b/>
        </w:rPr>
        <w:t>E. 3.3</w:t>
      </w:r>
    </w:p>
    <w:p>
      <w:r>
        <w:t>En l'espèce, dans la décision entreprise, le Conseil d’État a estimé qu’au vu des faits en cause, il existait un intérêt public indéniable à ce que la sanction soit immédiatement exécutée nonobstant un éventuel recours. Or, dans la pesée des intérêts à prendre en compte, l’intérêt public au bon fonctionnement d’un service, notamment à la conservation d’un personnel respectueux des intérêts de l’employeur, est important. L’intérêt privé du recourant à conserver son traitement est, certes, également important. Toutefois, bien qu'il soit vraisemblable qu'au vu du prononcé de la révocation immédiate, le recourant subisse une suspension de son droit aux indemnités de chômage (art. 30 de la loi fédérale sur l'assurance-chômage obligatoire et l'indemnité en cas d'insolvabilité du 25 juin 1982 - loi sur l'assurance-chômage, LACI - RS 837.0), il n'allègue pas ni a fortiori ne rend vraisemblable qu'il aurait entrepris des démarches nécessaires en vue d'obtenir lesdites indemnités. En tant que le recourant objecte qu’une telle démarche ne serait pas raisonnable, compte tenu du peu de temps écoulé depuis la décision de révocation, force est de relever qu’au moment du dépôt de sa réplique, le 4 décembre 2023, plus de deux mois s’étaient écoulés depuis la décision de révocation, sans qu’aucune démarche auprès de l’assurance-chômage n’ait été alléguée. S’ajoute à cela qu’il ne fournit aucune précision quant à sa situation financière (éléments de fortune, revenus/fortune, charges etc.), de sorte qu’il ne rend pas vraisemblable que la fin de son traitement l’exposerait à un préjudice difficilement réparable ni qu’il disposerait des moyens lui permettant, en cas de rejet de son recours, de rembourser les traitements indûment perçus pendant la durée de la procédure. Ainsi, et même s’il fallait admettre que le recourant ne dispose pas d’économies – ce qui n’est pas rendu vraisemblable –, l'intérêt public à la préservation des finances de l'entité publique intimée, qui serait alors exposée au risque qu’il ne rembourse pas les traitements versés en cas de rejet de son recours, prime son intérêt financier à percevoir son salaire durant la procédure ( ATA/466/2021 du 28 avril 2021 ; ATA/1559/2019 du 21 octobre 2019).![endif]&gt;![if&gt; Enfin, et sans préjudice de l’examen au fond, les chances de succès du recours ne paraissent pas à ce point manifestes qu'elles justifieraient à elles seules la restitution de l’effet suspensif au recours. Au vu de ce qui précède, la demande de restitution de l'effet suspensif au recours sera refusée.</w:t>
      </w:r>
    </w:p>
    <w:p>
      <w:r>
        <w:rPr>
          <w:b/>
        </w:rPr>
        <w:t>E. 4</w:t>
      </w:r>
    </w:p>
    <w:p>
      <w:r>
        <w:t>Le sort des frais sera réservé jusqu’à droit jugé au fond.![endif]&gt;![if&gt;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