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A/3575/2019 vom 28. November 2019</w:t>
      </w:r>
    </w:p>
    <w:p>
      <w:r>
        <w:t>GE Cour de justice, 2019-11-28, FR</w:t>
      </w:r>
    </w:p>
    <w:p>
      <w:r>
        <w:rPr>
          <w:b/>
        </w:rPr>
        <w:t xml:space="preserve">Quelle: </w:t>
      </w:r>
      <w:r>
        <w:t>https://mcp.opencaselaw.ch/entscheid/ge_gerichte_A_3575_2019</w:t>
      </w:r>
    </w:p>
    <w:p>
      <w:r>
        <w:t>FR: GE_GERICHTE A/3575/2019 du 28 novembre 2019</w:t>
      </w:r>
    </w:p>
    <w:p>
      <w:r>
        <w:t>IT: GE_GERICHTE A/3575/2019 del 28 novembre 2019</w:t>
      </w:r>
    </w:p>
    <w:p>
      <w:pPr>
        <w:pStyle w:val="Heading2"/>
      </w:pPr>
      <w:r>
        <w:t>Regeste</w:t>
      </w:r>
    </w:p>
    <w:p>
      <w:r>
        <w:t>Retard injustifié; notification CdP | LP.17.al3; LP.69.al1</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Qu'une fois le commandement de payer établi conformément à l'art. 69 al. 2 LP, la durée de la procédure de notification proprement dite dépend en partie de circonstances sur lesquelles l'Office n'a pas de prise (par ex. : absence du débiteur ou d'un tiers habilité à recevoir l'acte à sa place au moment de la notification, absence de collaboration du débiteur, difficultés à le localiser, etc.); l'Office n'en est pas moins tenu de poursuivre de manière diligente et sans désemparer ses efforts en vue de la notification, dans le respect des art. 64 ss LP; Qu'en l'espèce, le commandement de payer a été établi environ 7 jours ouvrables après que l'Office ait reçu la réquisition de poursuite, ce qui ne paraît pas excessif au regard des exigences fixées à l'art. 69 al. 1 LP; Qu'au surplus, l'Office a de manière générale agi avec diligence, la longueur de la procédure de notification étant essentiellement due à un manque de collaboration de la part de la société débitrice; qu'en particulier, les tentatives de notification effectuées par l'Office l'ont été à intervalle régulier et sans atermoiement notable; qu'il peut certes être reproché à l'Office d'avoir laissé s'écouler environ six semaines entre la sommation du</w:t>
      </w:r>
    </w:p>
    <w:p>
      <w:r>
        <w:rPr>
          <w:b/>
        </w:rPr>
        <w:t>E. 8</w:t>
      </w:r>
    </w:p>
    <w:p>
      <w:r>
        <w:t>juillet 2019 et le passage sur place du 21 août 2019, puis environ un mois entre les deux passages sur place, respectivement entre le second passage sur place et la délivrance d'un mandate de conduite; sur le premier point, il convient toutefois de tenir compte des féries d'été (art. 56 ch. 2 LP) alors que, sur le second point, il ne peut être fait grief à l'Office d'avoir patienté quelques jours après le passage sur place d'un de ses collaborateurs afin de s'assurer que l'administratrice de la débitrice ne se présenterait pas spontanément, comme les avis déposés à son adresse privée l'y invitait; Que la plainte se révèle ainsi mal fondée; Que la procédure est gratuite (art. 20a al. 2 ch. 5 LP; 61 al. 2 let. a OELP). * * * * * PAR CES MOTIFS, La Chambre de surveillance : A la forme : Déclare recevable la plainte formée le 26 septembre 2019 par la FONDATION INSTITUTION SUPPLETIVE LPP pour retard non justifié dans le traitement de la réquisition de poursuite n° 1______. Au fond : La rejette. Siégeant : Madame Nathalie RAPP, présidente; Messieurs Georges ZUFFEREY et Claude MARCET, juges assesseurs; Madame Véronique AMAUDRY-PISCETTA, greffière. La présidente : La greffière : Nathalie RAPP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