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A/3567/2023 vom 3. Juli 2024</w:t>
      </w:r>
    </w:p>
    <w:p>
      <w:r>
        <w:t>GE Cour de justice, 2024-07-03, FR</w:t>
      </w:r>
    </w:p>
    <w:p>
      <w:r>
        <w:rPr>
          <w:b/>
        </w:rPr>
        <w:t xml:space="preserve">Quelle: </w:t>
      </w:r>
      <w:r>
        <w:t>https://mcp.opencaselaw.ch/entscheid/ge_gerichte_A_3567_2023</w:t>
      </w:r>
    </w:p>
    <w:p>
      <w:r>
        <w:t>FR: GE_GERICHTE A/3567/2023 du 3 juillet 2024</w:t>
      </w:r>
    </w:p>
    <w:p>
      <w:r>
        <w:t>IT: GE_GERICHTE A/3567/2023 del 3 luglio 2024</w:t>
      </w:r>
    </w:p>
    <w:p>
      <w:pPr>
        <w:pStyle w:val="Heading2"/>
      </w:pPr>
      <w:r>
        <w:t>Volltext</w:t>
      </w:r>
    </w:p>
    <w:p>
      <w:r>
        <w:t>Genève Cour de justice (Cour de droit public) Chambre des assurances sociales 03.07.2024 A/3567/2023</w:t>
      </w:r>
    </w:p>
    <w:p>
      <w:r>
        <w:t>A/3567/2023 ATAS/557/2024 du 03.07.2024 ( AI ) , PARTIELMNT ADMIS Recours TF déposé le 08.08.2024, rendu le 09.10.2024, IRRECEVABLE, 8C_432/2024 En fait En droit rÉpublique et 1.1canton de genÈve POUVOIR JUDICIAIRE A/3567/2023 ATAS/557/2024 COUR DE JUSTICE Chambre des assurances sociales Arrêt du 3 juillet 2024 Chambre 8 En la cause A______ recourant contre OFFICE DE L'ASSURANCE-INVALIDITÉ DU CANTON DE GENÈVE intimé EN FAIT A. a. Monsieur A______ (ci-après : l’assuré ou le recourant), né le ______ 1974, travaillait comme aide monteur en échafaudage sous contrat de mission de B______ auprès de C______, sociétés sises à Genève. À ce titre, il était assuré contre le risque d’accident, professionnel ou non, auprès de la CAISSE NATIONALE SUISSE D’ASSURANCE EN CAS D’ACCIDENTS (ci-après : la SUVA). b. Le 13 décembre 2019, l’assuré a fait une chute d’un échafaudage. c. Le rapport des Hôpitaux universitaires de Genève (ci-après : les HUG) du 13 décembre 2019 a retenu un traumatisme crânien sans perte de connaissance ni amnésie. Il est décrit une chute d’un échafaudage d’une hauteur de quatre mètres. L’assuré s’était plaint de douleurs au membre supérieur droit ainsi qu’aux membres inférieurs. Il a également présenté un œuf de pigeon avec hématome et dermabrasion de l’arcade sourcilière droite. Les examens réalisés ont permis de mettre en évidence une fracture intra-articulaire de l’extrémité distale du radius droit ainsi qu’une fracture de calcanéum gauche. Un traitement conservateur a été préconisé. d. La SUVA a pris en charge le cas. B. a. Le 22 juin 2020, l’assuré a déposé une demande de prestations auprès de l’OFFICE DE L’ASSURANCE-INVALIDITE DU CANTON DE GENÈVE (ci-après : l’OAI ou l’intimé). b. Dans le rapport des HUG du 3 juillet 2020, il était notamment relevé la persistance des douleurs et un déficit de la force. Il était conclu à l’impossibilité de porter des charges lourdes ou d’effectuer des mouvements répétés. La capacité de travail était nulle dans l’activité habituelle, mais complète dans une activité strictement adaptée aux limitations fonctionnelles. c. Par expertise du 20 juillet 2020, le docteur D______, spécialiste FMH en oto-rhino-laryngologie et en allergologie et immunologie a noté que l’assuré souffrait depuis plus de 23 ans d’une baisse de l’audition à droite. Il a conclu à une hypoacousie de type mixte moyenne sévère droite et à un status post-typanoplastie. d. Par communication du 24 juillet 2020, l’OAI a accordé la prise en charge du forfait pour un appareil acoustique monaural. e. Par communication du 24 septembre 2020, l’OAI a octroyé à l’assuré des mesures d’intervention précoce sous la forme d’un cours de français et un programme d’accompagnement (outplacement). f. Le 1 er octobre 2020, l’assuré a subi une arthroscopie de diagnostic et une ostéotomie de raccourcissement. g. Par communication du 23 décembre 2020, l’assuré s’est vu accorder une formation de mécanique de base et de programmeur-régleur sur machines à commande numérique (CNC). h. Par courrier du 20 décembre 2021, la SUVA a informé l’assuré qu’elle considérait l’état de santé comme stabilisé. Elle mettait dès lors fin au paiement des soins médicaux et de l’indemnité journalière au 31 mars 2022. Il était précisé qu’elle continuerait à prendre en charge les traitements antalgiques médicamenteux et quatre séries de neuf séances par année de rééducation et ergothérapie. Sur la base de l’examen de leur service médical, il était retenu que l’activité habituelle n’était plus exigible, il subsistait toutefois une pleine capacité de travail dans une activité adaptée. i. Par communications du 4 avril 2022, l’OAI a octroyé une prestation de conseil et suivi (coaching) du 1 er avril au 30 juin 2022 et un stage d’évaluation auprès d’une entreprise partenaire. j. Par communication du 21 juin 2022, l’OAI a accordé un stage de placement à l’essai dans l’économie réelle auprès de l’entreprise E______ du 1 er juillet au 31 décembre 2022. En parallèle, la mesure de coaching a été prolongée au 31 décembre 2022. k. Dans l’auto-évaluation de stage du 23 août 2022, l’assuré a déclaré que le rythme et l’horaire du stage qui était effectué à 100% lui convenaient. Il indiquait être très motivé, le travail lui plaisait et il se sentait à l’aise. Il avait été limité au début par son surpoids, mais suite à sa perte de poids, cela allait beaucoup mieux. Il avait parfois quelques douleurs, mais rien qui l’empêchait de travailler. Il avait un bon rythme et faisait le même travail que ses collègues sauf s’agissant du port de charges. Il se voyait continuer dans cette voie. l. Par communication du 20 décembre 2022, l’OAI a accordé un placement à l’essai d’un mois auprès de la société E______, soit durant le mois de janvier 2023 afin de tester une nouvelle fonction dans l’activité d’opérateur CNC. m. Selon le rapport d’évaluation de stage du 21 décembre 2022, l’assuré s’était montré très motivé durant tout le stage malgré sa déception de ne pas être engagé. Il était relevé qu’il avait effectué des tâches de contrôle, de mise en place de l’outillage et de préréglage. Les tâches correspondaient à un opérateur CNC, il n’avait pas les compétences pour être programmeur CNC. S’agissant de l’état de santé, il était relevé que les débuts avaient été difficiles, mais que désormais cela allait. Il souffrait quand même un peu des jambes car il était toujours debout. En ce qui concernait son poignet, il ne portait pas de poids ou utilisait son poignet gauche, ce qui fonctionnait en général. Il était relevé qu’il était très volontaire. Quant à la formation, il était souligné que l’assuré, qui avait fait du tournage et pas de fraisage, n’était pas très fin au niveau mécanique. Il était conclu qu’il lui fallait des cours de programmation. À ce jour, il pouvait faire un très bon opérateur CNC et s’occuper de la correction de programmes, mais il ne pouvait pas être régleur ou programmeur, il pouvait lire un programme simple mais pas le créer. n. Par projet de décision du 24 mars 2023, l’OAI a rejeté la demande à défaut de perte de gain, l’assuré pouvant entreprendre une activité en tant qu’opérateur CNC suite à la réussite des mesures suivies dans le cadre de l’intervention précoce. o. Lors de l’audition du 19 mai 2023, l’assuré a fait valoir que sa capacité de travail ne dépassait pas 60%. p. Courant août 2023, l’assuré a transmis un rapport des HUG du 20 juin 2023. Ledit rapport a retenu comme diagnostic principal des douleurs chroniques du poignet droit sur fracture du radius distal, ostéotomie de raccourcissement de l’ulna et probable arthrose pancarpienne. S’agissant des diagnostics secondaires, il était mentionné une neuropathie ulnaire d’origine probablement positionnelle constatée depuis le 20 juin 2023, une arthrose débutante radio-carpienne notée dès le 31 juillet 2020, un conflit ulnocarpien décompensé post traumatique et une fracture de l’extrémité distale du radius remontant au 13 décembre 2019. Il était mentionné que la consultation faisait suite à une péjoration progressive des douleurs au bord ulnaire du poignet et de paresthésies sur la partie ulnaire de la main. La radiographie du poignet droit avait mis en évidence l’apparition d’une discrète clarté sur le pôle proximal du triquetrum dans le cadre d’un ulna long, ce qui irait dans le sens d’un conflit ulnocarpien, mais ce n’était pas le cas de l’assuré. q. Par avis du 22 août 2023, le service médial régional de l’assurance-invalidité (ci-après : SMR) a constaté que, dans le rapport du 3 juillet 2020, les HUG avaient déjà retenu des douleurs résiduelles et conclu à une pleine capacité de travail dans une activité adaptée. Le rapport du 20 juin 2023 ne se prononçant pas sur une capacité de travail, il était demandé d’interroger les HUG sur ce point. r. Par rapport du 25 septembre 2023, les HUG ont répondu que l’atteinte orthopédique n’avait aucun impact sur la capacité de travail, l’assuré n’étant plus au bénéfice d’un arrêt de travail de leur service de chirurgie orthopédique et traumatologie de l’appareil moteur depuis le 6 février 2022. En annexe étaient joints le rapport d’imagerie par résonnance magnétique (IRM) du 28 juin 2023 et le rapport du 6 juillet 2023 du docteur F______, spécialiste FMH en neurologie. Le rapport d’IRM concluait à des signes de conflit ulno-lunaire stables. Quant au rapport du 6 juillet 2023, il a relevé que cliniquement, l’examen neurologique des membres supérieurs retrouvait une hypoesthésie du territoire ulnaire droit, sans perte de discrimination toucher/piquer, associée à un signe de tinel aux coudes légèrement positif des deux côtés. L’électroneuromyogramme (ENMG) des deux membres supérieurs était normal. s. Dans le rapport du 3 octobre 2023, les HUG ont relevé que les douleurs étaient persistantes sur le bord ulnaire du poignet droit, l’assuré portait en continu une attelle de poignet pour diminuer les douleurs qui étaient importantes à chaque fois qu’il portait quelque chose en supination ou en pronation, porter des charges en position verticale du poignet n’était pas douloureux. Le scanner avait mis en évidence un amincissement cartilagineux et défect ostéocartilagineux connu de la fossette lunaire sans progression significative depuis le dernier comparatif. Il était proposé une ablation de la plaque avec dénervation du bord ulnaire du poignet. Cette intervention serait précédée d’une dénervation test par anesthésique. t. Dans son avis du 9 octobre 2023, le SMR a confirmé une capacité de travail de 100% dans une activité adaptée dès le 1 er décembre 2021. Les limitations suivantes étaient retenues : « pas de port de charges supérieures à 10-15kg et le poignet dans l’axe du corps ; pas de port de charges répété supérieures à 5-10kg, la main et le poignet dans l’axe du corps ; aucun port de charge en supination, membre supérieur droit en position de porte-à-faux ; pas de mouvements nécessitant de la force et des amplitudes importantes du poignet et de la main droite en flexion/extension et pro-supination ». u. Par décision du 10 octobre 2023, l’OAI a rejeté la demande de prestations de l’assuré. C. a. Par acte du 31 octobre 2023, l’assuré a interjeté recours contestant la décision de refus de l’OAI auprès de la chambre des assurances sociales de la Cour de justice (ci-après : la Cour de céans). Il a fait valoir qu’il n’avait jamais fait de radiographie des hanches et de la colonne qui étaient douloureuses, il avait beaucoup de peine à marcher et à rester debout. S’agissant de son bras droit, l’os de son bras avait été mal placé et touchait l’os de son poignet, ce qui avait conduit à une opération seulement dix mois après l’accident. Depuis ce dernier, il vivait avec des douleurs horribles qui le limitaient énormément au quotidien. Il se retrouvait sans cartilage entre les deux os en raison du frottement et avait une plaque qui devait être enlevée le 30 novembre 2023. b. Invité à se déterminer, l’intimé a conclu au rejet du recours par acte du 29 novembre 2023. Aucun élément médical objectivement vérifiable permettant de remettre en cause les conclusions du SMR n’avait été apporté par le recourant. Suite aux mesures accordées, le recourant possédait les connaissances nécessaires pour faire valoir une pleine capacité de travail dans une activité d’opérateur CNC, étant relevé que le recourant pouvait exploiter sa capacité de travail dans toute activité adaptée à ses limitations. c. Par acte du 18 décembre 2023, le recourant a invoqué une aggravation de son état de santé après les mesures accordées par l’intimé. Il avait des douleurs à la main droite qui l’empêchaient de vivre normalement, le moindre geste nécessitant un peu de force entraînait des douleurs terribles. Suite à l’accident, il souffrait également des jambes, il avait beaucoup de peine à rester debout et à marcher même sur une courte distance. Il en avait parlé aux HUG, mais rien n’avait été fait. Il était à nouveau suivi aux HUG depuis quelques mois. Il avait fait des examens et une infiltration qui n’avait eu aucun effet, les douleurs étant toujours présentes. Des examens étaient prévus en janvier. d. Par acte du 11 janvier 2024, l’intimé a persisté. e. Par envoi du 5 février 2024, le recourant a transmis un rapport des HUG daté du 31 janvier 2024. Ce dernier concluait que le recourant présentait des douleurs chroniques du poignet droit status post fracture du radius distal droit. Il y avait une arthrose débutante. Les douleurs n’avaient pas été améliorées par une infiltration de cortisone, elles étaient uniquement améliorées par le port continu d’une attelle de poignet. Il n’y avait aucun traitement chirurgical à proposer pour les douleurs. Le recourant ne pouvait pas reprendre un travail manuel lourd et il était nécessaire d’envisager une reconversion professionnelle. Les limitations fonctionnelles étaient le port de charge maximal de 15kg de la main droite et pas de port de charge en supination ou pronation de l’avant-bras.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Le 1 er janvier 2021 est entrée en vigueur la modification du 21 juin 2019 de la LPGA. Dans la mesure où le recours a été interjeté postérieurement au 1 er janvier 2021, il est soumis au nouveau droit (cf. art. 82a LPGA a contrario). 3. Le 1 er janvier 2022, les modifications de la loi fédérale sur l’assurance-invalidité du 19 juin 1959 (LAI - 831.20)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Si un droit à la rente a pris naissance jusqu’au 31 décembre 2021, un éventuel passage au nouveau système de rentes linéaires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(cf. arrêt du Tribunal fédéral 9C _499/2022 du 29 juin 2023 consid. 4.1). En l’occurrence, la décision querellée a été rendue postérieurement au 1 er janvier 2022. La demande de prestations a été déposée en juin 2020, l’éventuel droit à une rente d’invalidité naîtrait antérieurement au 1 er janvier 2022 (cf. art. 28 al. 1 let. b et 29 al. 1 LAI), de sorte que les dispositions applicables seront citées dans leur teneur en vigueur jusqu’au 31 décembre 2021. 4. 4.1 À teneur de l'art. 61 let. b LPGA, sous réserve de l'art. 1 al. 3 de la loi fédérale sur la procédure administrative du 20 décembre 1968 (PA - RS 172.021), la procédure devant le tribunal cantonal des assurances est réglée par le droit cantonal. Elle doit satisfaire aux exigences suivantes :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4.2 L’art. 89B de la loi sur la procédure administrative du 12 septembre 1985 (LPA ‑ E 5 10) prévoit que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 b) un exposé succinct des faits ou des motifs invoqués ; c) des conclusions (al. 1). Si la lettre ou le mémoire n'est pas conforme à ces règles, la chambre des assurances sociales de la Cour de justice impartit un délai convenable à son auteur pour le compléter en indiquant qu'en cas d'inobservation la demande ou le recours est écarté (al. 2). 4.3 Ces exigences formelles doivent permettre à la juridiction cantonale de comprendre, au regard du recours (et le cas échéant de son complément) ( ATAS/163/2015 du 3 mars 2015) : -        les faits pertinents de la cause, dont - lorsqu’est invoquée une constatation inexacte ou incomplète des faits pertinents (art. 61 al. 1 let. b LPA) - quels faits sont prétendument inexacts ou incomplets, et en quoi ils sont inexacts ou incomplets et en plus pertinents pour la solution du litige ; -        les griefs que le recourant émet à l’encontre de la décision attaquée, à savoir en quoi la décision attaquée est prétendument contraire au droit, consacre un excès ou un abus du pouvoir d’appréciation (art. 61 al. 1 let. a LPA), ou/et repose sur des faits établis de façon inexacte ou incomplète (art. 61 al. 1 let. b LPA) ; -        ce que le recourant demande de la juridiction saisie. Ces exigences sont peu élevées. Elles ont pour but de permettre à la juridiction administrative de déterminer l’objet du litige qui lui est soumis et de donner l’occasion à la partie intimée de répondre aux griefs formulés à son encontre ( ATA/216/2013 du 9 avril 2013 consid.4 ; ATA/1/2007 du 9 janvier 2007 ; ATA/632/2005 du 27 septembre 2005 ; ATA/251/2004 du 23 mars 2004). Elles ne doivent pas être réduites à rien, comme si elles n’étaient en définitive pas posées. S’il lui faut éviter tout formalisme excessif et toute rigueur inutile, la juridiction saisie n’a pas pour autant à se muer en avocate du recourant et, en suppléant aux carences de ce dernier, à devoir imaginer les faits pertinents susceptibles d’avoir été mal établis ou/et interprétés par l’autorité intimée, deviner les éventuelles contrariétés au droit que recèlerait la décision attaquée, et dire à la place du recourant ce que celui-ci devait requérir d’elle ( ATAS/163/2015 du 3 mars 2015). 4.4 Conformément au principe de l'interdiction du formalisme excessif en matière de droit des assurances sociales, le juge saisi d'un recours ne doit pas se montrer trop strict lorsqu'il s'agit d'apprécier la forme et le contenu de l'acte de recours. À cet égard, la jurisprudence a précisé qu'il y a lieu d'accorder un délai convenable non seulement dans les cas où l'acte de recours est insuffisamment motivé, mais également en l'absence de toute motivation pour autant que le recourant ait clairement exprimé sa volonté de recourir contre une décision déterminée dans le délai légal de recours ; demeure réservé l'abus de droit (ATF 143 V 249 consid. 6.2 ; ATF 134 V 162 ; arrêts du Tribunal fédéral 8C_805/2012 du 12 mars 2013 consid. 7 ; 9C_248/2010 du 23 juin 2010 consid. 3.1 ; voir également Ueli KIESER, Bundesgesetz über den Allgemeinen Teil des Sozialversicherungsrechts (ATSG), in : Schweizerisches Bundes-verwaltungsrecht [SBVR], Soziale Sicherheit, 2 ème éd., n. 193 p. 299). 4.5 En l’espèce, par décision du 10 octobre 2023, l’office intimé a rejeté la demande du recourant car compte tenu de la pleine capacité de travail dans une activité adaptée et des mesures suivies dans le cadre de l’intervention précoce, le recourant ne présentait pas de perte de gain. Le 31 octobre 2023, le recourant a déposé un recours où il a rappelé les circonstances de son accident, ses blessures et les complications lors de sa prise en charge par les HUG. Il a fait état de ses importantes douleurs. Il a indiqué avoir fait une demande qui avait été refusée, refus qui avait été maintenu de sorte qu’il envoyait son écriture à la Cour de céans. Dès lors, l’acte déposé par le recourant montre son désaccord avec le refus de l’office intimé en rappelant les faits et faisant valoir son état de santé. Il en ressort que le recourant contestant le refus, il sollicite l’octroi des prestations en demandant une nouvelle appréciation de ses atteintes. Il sera donc retenu que les conditions de recevabilité prévues par l'art. 61 let. b LPGA sont réalisées. Interjeté dans la forme et le délai prévus par la loi, le recours est recevable (art. 56 LPGA ; art. 62 al. 1 de LPA). 5. Le litige porte sur le droit du recourant à d’autres prestations que celles qui lui ont déjà été allouées dans la cadre de l’intervention précoce. 6. 6.1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6.2 Selon l’art. 28 al. 1 LAI, l’assuré a droit à une rente aux conditions suivantes : « a.  sa capacité de gain ou sa capacité d’accomplir ses travaux habituels ne peut pas être rétablie, maintenue ou améliorée par des mesures de réadaptation raisonnablement exigibles ; b. il a présenté une incapacité de travail (art. 6 LPGA) d’au moins 40 % en moyenne durant une année sans interruption notable ; c.  au terme de cette année, il est invalide (art. 8 LPGA) à 40 % au moins ». 6.3 En vertu de l’art. 28 al. 2 LAI, l’assuré a droit à une rente entière s’il est invalide à 70% au moins, à un trois quarts de rente s'il est invalide à 60% au moins, à une demi-rente s’il est invalide à 50% au moins, ou à un quart de rente s’il est invalide à 40% au moins. 6.4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6.5 Conformément à l’art. 88a al.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6.6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6.8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6.8.1 Sans remettre en cause le principe de la libre appréciation des preuves, le Tribunal fédéral des assurances a posé des lignes directrices en ce qui concerne la manière d'apprécier certains types d'expertises ou de rapports médicaux. 6.8.2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6.8.3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6.8.4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 9C_833/2007 du 4 juillet 2008, in Plädoyer 2009/1 p. 70 ; arrêt du Tribunal fédéral des assurances I 35/03 du 24 octobre 2003 consid. 4.3 et les références, in Plädoyer 2004/3 p. 64 ; arrêt du Tribunal fédéral 9C_512/2013 du 16 janvier 2014 consid. 5.2.1). 6.8.5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 8. 8.1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8.2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8.3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(arrêts du Tribunal fédéral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I 168/05 du 24 avril 2006 consid. 3.3 et B 80/01 du 17 octobre 2003 consid. 5.2.2). 8.3.1 Aux termes de l’art. 26 al. 2 RAI, si le revenu effectivement réalisé est inférieur d’au moins 5% aux valeurs médianes usuelles dans la branche selon l’ESS au sens de l’art. 25, al. 3, le revenu sans invalidité correspond à 95% de ces valeurs médianes. Ainsi,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références). Le revenu effectivement réalisé doit être considéré comme nettement inférieur aux salaires habituels de la branche lorsqu'il est inférieur d'au moins 5% au salaire statistique usuel dans la branche (ATF 135 V 297 consid. 6.1.2; arrêt du Tribunal fédéral 8C_677/2021 du 31 janvier 2022 consid. 4.2.2). Lors de l'examen du caractère inférieur à la moyenne du revenu de célibataire, il convient de comparer en premier lieu le revenu statistique usuel de la branche selon l'enquête sur la structure des salaires (ESS) publiée par l'Office fédéral de la statistique (ATF 141 V 1 consid. 5.6). 8.4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8.4.1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et 8C_111/2021 du 30 avril 2021 consid. 4.2.1 et les références). 8.5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8.6 Selon la teneur de l’art. 26bis al. 3 RAI en vigueur dès le 1 er janvier 2022, si, du fait de l’invalidité, les capacités fonctionnelles de l’assuré au sens de l’art. 49, al. 1bis, ne lui permettent de travailler qu’à un taux d’occupation de 50% ou moins, une déduction de 10% pour le travail à temps partiel est opérée sur la valeur statistique 9. En l’espèce, le recourant fait valoir que son état de santé s’est aggravé suite aux mesures accordées dans le cadre de l’intervention précoce. Outre les douleurs à la main droite qui empêchaient une vie normale, il avait très mal aux jambes, ce qui rendait difficile la marche ou la position debout. L’intimé considère de son côté que le recourant peut réaliser une activité adaptée à 100% à compter du 1 er décembre 2021, le recourant n’ayant pas apporté d’élément médical objectivement vérifiable permettant de remettre en cause l’appréciation réalisée. Le recourant avait par ailleurs bénéficié de mesures d’ordre professionnel de sorte qu’il possède les connaissances nécessaires pour travailler en tant qu’opérateur CNC ou toute activité adaptée vu l’éventail du marché du travail. 10. 10.1 Il convient en premier lieu d’examiner la valeur probante des rapports médicaux au dossier. Ainsi, le rapport des HUG du 3 juillet 2020 a certes constaté la persistance des douleurs et un déficit de force, ce qui rendait impossible le port de lourdes charges ou d’effectuer des mouvements répétés, mais a conclu à une pleine capacité de travail dans une activité adaptée. Dans le cadre de sa prise en charge, la SUVA a également conclu courant décembre 2021 que l’état de santé du recourant était stabilisé et permettait une pleine capacité de travail dans une activité adaptée. Le recourant a été mis au bénéfice de mesures d’intervention précoce comprenant notamment des stages dans l’économie réelle qu’il a pu réaliser à 100% jusqu’à fin janvier 2023. À ce stade, il sera relevé que dans son auto-évaluation du 23 août 2022, le recourant notait qu’il avait certes été limité au début mais par son poids. Quant aux douleurs, elles ne l’empêchaient pas de travailler. Il a par ailleurs indiqué que le taux de 100% lui convenait. Il ressort du rapport d’évaluation de stage du 21 décembre 2022 que les débuts avaient été difficiles, mais que l’évolution avait été bonne. Il était relevé que le recourant souffrait un peu des jambes car il était toujours debout. S’agissant de son poignet droit, il ne portait pas de poids. Il était conclu que le recourant pouvait faire un très bon opérateur CNC. Par avis du 9 octobre 2023, le SMR a confirmé une capacité de travail de 100% dans une activité adaptée dès le 1 er décembre 2021. Le recourant allègue une aggravation de son état de santé après les mesures qui se sont terminées fin janvier 2023. S’agissant des éléments produits par le recourant, il y a tout d’abord le rapport des HUG du 20 juin 2023 communiqué dans le cadre de la procédure d’audition. Ce dernier explique que la consultation fait suite à l’aggravation progressive des douleurs et de paresthésies sur la partie ulnaire de la main et des diagnostics secondaires qui sont tous antérieurs à 2023 hormis une neuropathie ulnaire constatée le jour du rapport. Sur interpellation de l’office intimé, les HUG ont répondu par rapport du 25 septembre 2023 que l’atteinte orthopédique n’avait aucun impact sur la capacité de travail, le recourant n’étant plus au bénéfice d’un arrêt de travail depuis le 6 février 2022. Dans le rapport du 3 octobre 2023, les HUG indiquent que les douleurs sont importantes à chaque fois que le recourant porte quelque chose en supination ou en pronation, mais pas en position verticale. L’amincissement cartilagineux et le défect ostéocartilagineux n’avaient pas connu de progression significative selon le nouveau scanner réalisé. Quant au volet neurologique, l’IRM du 28 juin 2023 concluait à des signes de conflit ulno-lunaire stables. Dans le rapport du 6 juillet 2023, il est relevé que cliniquement, l’examen neurologique des membres supérieurs retrouvait une hypoesthésie du territoire ulnaire droit, sans perte de discrimination toucher/piquer, associée à un signe de tinel aux coudes légèrement positif des deux côtés. L’électroneuromyogramme (ENMG) des deux membres supérieurs était normal. Enfin, le recourant a produit un rapport du 31 janvier 2024 qui conclut à des douleurs chroniques améliorées uniquement par le port d’une attelle. Les HUG préconisaient une reconversion professionnelle dans une activité limitant le port de charge de 15 kg et n’impliquant pas de port de charges en supination ou pronation Par conséquent, les éléments médicaux au dossier qu’ils émanent du SMR, de la SUVA ou des HUG concluent tous à l’impossibilité de reprendre l’activité habituelle, mais à une pleine capacité de travail dans une activité adaptée. Les limitations fixées sont similaires. Aucun rapport au dossier ne permet de retenir une aggravation de l’état de santé ayant une répercussion sur la pleine capacité de travail dans une activité adaptée. Au vu de ce qui précède, force est de constater que le recourant n’a produit aucun document permettant de remettre en cause la capacité de travail entière fixée dans une activité adaptée à compter de décembre 2021, laquelle devra dès lors être confirmée. 10.2 Reste à examiner les comparaisons des gains effectuées, l’intimé ayant calculé le degré d’invalidité en 2021 et 2022. À ce stade, il sied de rappeler que l’incapacité de travail totale a débuté le 13 décembre 2019 et que la demande de prestations date du 22 juin 2020. L’amélioration de l’état de santé permettant une pleine capacité de travail a en outre été fixée au 1 er décembre 2021. Par conséquent, à l’échéance du délai de carence d’une année, le recourant était toujours en totale incapacité de travail. Il a dès lors droit à une rente d’invalidité entière du 1 er décembre 2020 au 28 février 2022, soit pendant les trois mois suivant l’amélioration fixée à compter du 1 er décembre 2021 permettant une pleine capacité de travail, ce conformément aux art. 28 et 29 al. 1 LAI ainsi qu’à l’art. 88a al. 1 RAI. La décision litigieuse devra donc être annulée pour ce motif. En ce qui concerne la comparaison des gains qui doit dès lors être réalisée dès mars 2022, l’intimé constatant une différence entre le salaire sans invalidité annoncé et le salaire statistique de plus de 5%, il a parallélisé les revenus, ce qui est conforme à la jurisprudence et les dispositions légales en la matière. Le revenu sans invalidité de CHF 66'951.- est donc conforme aux principes en la matière. S’agissant du revenu avec invalidité, l’intimé s’est basé sur le tableau TA1_tirage_skill_level, ligne 24-35 de l'Enquête Suisse sur la Structure des salaires (ESS), considérant que vu les mesures accordées dans le cadre de l’intervention précoce, le recourant pouvait travailler en tant qu’opérateur CNC. Aucun abattement n’a été retenu. Il apparaît toutefois qu’au moment de référence pour le calcul du degré d’invalidité, soit mars 2022, le recourant n’avait pas achevé les mesures, de sorte qu’il se justifie d’appliquer le tableau TA1_tirage_skill_level de l'ESS 2020 dont il ressort que le revenu statistique tiré d'activités physiques ou manuelles simples dans le secteur privé s'élève à CHF 5'261.- pour un homme (niveau 1, total, part au 13 ème salaire comprise), ou à CHF 63'132.- par année pour un plein temps (5'261 × 12).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Selon le tableau T1.93 publié par l'OFS, les salaires nominaux des hommes ont évolué comme suit : - 0.7% en 2021 (disponible sur : https:// www.bfs.admin.ch/bfs/fr/home/statistiques/travail-remuneration/salaires-revenus-cout-travail/indice-salaires/par-sexe.assetdetail.24745533.html). C’est par ailleurs à juste titre que l’intimé n’a pas tenu compte d’un abattement. En effet, l’importante modification du taux d’invalidité a fait basculer le cas du recourant sous le droit applicable au 1 er janvier 2022, lequel ne prévoit aucun abattement en cas de capacité de travail de 100%. Il en résulte un revenu avec invalidité de CHF 65'354.40.-, ce qui conduit à un degré d’invalidité de 2,38%, compte tenu du revenu sans invalidité de CHF 66'951.-, ce qui n’ouvre pas le droit à des prestations Au vu de ce qui précède, le recours sera partiellement admis, le recourant ayant droit à une rente limitée dans le temps du 1 er décembre 2020 au 28 février 2022. Non représenté le recourant n’a pas droit à des dépens. L’intimé sera condamné au paiement d'un émolument de CHF 200.- (art. 69 al.1bis LAI). PAR CES MOTIFS, LA CHAMBRE DES ASSURANCES SOCIALES : Statuant À la forme : 1.        Déclare le recours recevable. Au fond : 2.        L’admet partiellement. 3.      Annule la décision de l’OAI du 10 octobre 2023. 4.      Dit que le recourant a droit à une rente entière d’invalidité du 1 er décembre 2020 au 28 février 2022. 5.      Renvoie la cause à l’OAI pour calcul des prestations dues. 6.      Dit qu’il n’est pas alloué d’indemnité de procédure au recourant. 7.      Met un émolument de CHF 200.- à la charge de l’OAI.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Pascale HUGI La présidente suppléante Marie-Josée COSTA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