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A/3566/2025 vom 18. Dezember 2025</w:t>
      </w:r>
    </w:p>
    <w:p>
      <w:r>
        <w:t>GE Cour de justice, 2025-12-18, FR</w:t>
      </w:r>
    </w:p>
    <w:p>
      <w:r>
        <w:rPr>
          <w:b/>
        </w:rPr>
        <w:t xml:space="preserve">Quelle: </w:t>
      </w:r>
      <w:r>
        <w:t>https://mcp.opencaselaw.ch/entscheid/ge_gerichte_A_3566_2025</w:t>
      </w:r>
    </w:p>
    <w:p>
      <w:r>
        <w:t>FR: GE_GERICHTE A/3566/2025 du 18 décembre 2025</w:t>
      </w:r>
    </w:p>
    <w:p>
      <w:r>
        <w:t>IT: GE_GERICHTE A/3566/2025 del 18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sur opposition du 23 juin 2025, par laquelle l’intimée a refusé d’accorder au recourant la remise de l’obligation de restituer un montant de CHF 18'388.50.- à titre d’indemnités journalières indûment versées entre le 24 juin 2024 et le 28 février 2025.</w:t>
      </w:r>
    </w:p>
    <w:p>
      <w:r>
        <w:rPr>
          <w:b/>
        </w:rPr>
        <w:t>E. 3</w:t>
      </w:r>
    </w:p>
    <w:p>
      <w:r>
        <w:t>Selon l'art. 25 al. 1 1 re phrase LPGA, en relation avec l'art. 2 al. 1 let. a de l'ordonnance sur la partie générale du droit des assurances sociales du 11 septembre 2002 (OPGA ; RS 830.11), les prestations indûment touchées doivent être restituées par le bénéficiaire ou par ses héritiers. L'art. 3 al. 1 OPGA prévoit que l’étendue de l’obligation de restituer est fixée par une décision.</w:t>
      </w:r>
    </w:p>
    <w:p>
      <w:r>
        <w:rPr>
          <w:b/>
        </w:rPr>
        <w:t>E. 3.1</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w:t>
      </w:r>
    </w:p>
    <w:p>
      <w:r>
        <w:rPr>
          <w:b/>
        </w:rPr>
        <w:t>E. 3.2</w:t>
      </w:r>
    </w:p>
    <w:p>
      <w:r>
        <w:t>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 consid. 4.2 et les références). La condition de l’erreur est en outre réalisée lorsque la décision a été rendue sur la base d’un état de fait incomplet établi en violation de la maxime inquisitoire (arrêt du Tribunal fédéral 8C_277/2020 du 17 août 2020 consid.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Selon la jurisprudence, l'octroi illégal de prestations est réputé sans nul doute erroné. Ces principes sont aussi applicables lorsque des prestations ont été accordées sans avoir fait l'objet d'une décision formelle et que leur versement, néanmoins, a acquis force de chose décidée (arrêt du Tribunal fédéral 8C_424/2019 du 3 juin 2020 consid. 5.1 et les références). La reconsidération d’une décision entrée en force est possible en tout temps, même plus de dix ans après son prononcé (ATF 149 V 91 consid. 7.7 ; 140 V 514 consid. 3), de sorte que si les conditions d’une reconsidération sont remplies, seuls les délais de péremption prescrits par l’art. 25 al. 2 LPGA doivent être examinés (arrêt du Tribunal fédéral 8C_256/2024 du 14 octobre 2024 consid. 6.2).</w:t>
      </w:r>
    </w:p>
    <w:p>
      <w:r>
        <w:rPr>
          <w:b/>
        </w:rPr>
        <w:t>E. 3.3</w:t>
      </w:r>
    </w:p>
    <w:p>
      <w:r>
        <w:t>En vertu de l'art. 25 al. 2 1 re phrase LPGA,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En l’espèce, l’intimée a réagi par décision du 13 mars 2025, soit moins d’une année après avoir continué, par erreur, à verser des indemnités journalières au-delà du 23 juin 2024, de sorte que le délai de péremption relatif ou absolu est sauvegardé.</w:t>
      </w:r>
    </w:p>
    <w:p>
      <w:r>
        <w:rPr>
          <w:b/>
        </w:rPr>
        <w:t>E. 4</w:t>
      </w:r>
    </w:p>
    <w:p>
      <w:r>
        <w:t>Selon l’art. 25 al. 1 2 e phrase LPGA, la restitution ne peut être exigée lorsque l’intéressé était de bonne foi et qu’elle le mettrait dans une situation difficile.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invoque sa bonne foi et soutient qu’en raison de l’attitude de la SUVA, il était conforté dans l’idée qu’il avait droit aux prestations versées indûment par cette dernière. L’intimée, de son côté, considère qu’en l’absence de décision révoquant celle du 23 juin 2024 qui mettait fin aux prestations, l’assuré ne pouvait pas prétendre, de bonne foi, qu’il ignorait ne plus avoir droit au paiement des indemnités journalières.</w:t>
      </w:r>
    </w:p>
    <w:p>
      <w:r>
        <w:rPr>
          <w:b/>
        </w:rPr>
        <w:t>E. 6.1</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6.2</w:t>
      </w:r>
    </w:p>
    <w:p>
      <w:r>
        <w:t>Il ressort du courriel du 19 janvier 2024 adressé par l’employeur à la SUVA et de la note téléphonique entre l’employeur et la SUVA, du 22 mars 2024, que le recourant percevait directement les indemnités journalières sur son compte bancaire. Le recourant invoque qu’il pensait, après avoir envoyé le certificat médical de son médecin traitant, le docteur B______, spécialiste en médecine générale, daté du 21 juin 2024 indiquant l’état de santé « avec cervicalgie, [l’assuré] pourrait essayer une reprise de travail à 50% dès le lundi 24 juin 2024 » que ledit certificat valait opposition à la décision de fin de prestations, ce qui expliquerait, selon lui, qu’il n’a pas entrepris d’autres démarches. Or, en l’absence de réaction de la SUVA, il pouvait difficilement postuler que le simple envoi d’un certificat d’incapacité de travail valait opposition, ce d’autant moins que, comme le relève l’intimée, le recourant avait déjà envoyé, à plusieurs reprises, des certificats médicaux d’incapacité de travail, signés par le même médecin. Ce n’est qu’au mois de janvier 2025, alors qu’elle poursuivait, par erreur, le paiement des indemnités journalières, que la SUVA s’est adressée au Dr B______ pour connaître l’évolution du patient. Le recourant allègue que cette demande de la SUVA confirmait qu’il avait droit aux prestations.</w:t>
      </w:r>
    </w:p>
    <w:p>
      <w:r>
        <w:rPr>
          <w:b/>
        </w:rPr>
        <w:t>E. 6.3</w:t>
      </w:r>
    </w:p>
    <w:p>
      <w:r>
        <w:t>Au vu du délai écoulé entre l’envoi du certificat médical du 21 juin 2024 et le courrier du 16 janvier 2025 adressé par la SUVA à son médecin traitant, soit six mois, le recourant peut difficilement justifier les raisons pour lesquelles il n’a pas réagi pendant ce laps de temps, alors qu’il percevait toujours les indemnités journalières et qu’aucune communication de la SUVA ne lui avait été adressée, qui l’aurait raisonnablement conforté dans l’idée qu’il avait droit aux prestations. Au contraire, au vu du texte de la décision du 6 juin 2024, qui indique clairement qu’il est « mis fin au versement des indemnités journalières à compter du 23 juin 2024 au soir et à la prise en charge des frais de traitement » et que toute opposition doit être motivée, formulée par écrit et signée, le recourant ne pouvait pas ignorer qu’il n’avait plus droit aux indemnités journalières dès le mois de juillet 2024, pas plus qu’il ne pouvait prétendre que le simple envoi de la copie du certificat médical du 21 juin 2024 valait opposition à ladite décision. La passivité du recourant, dès le mois de juillet 2024, contraste avec sa réaction du 13 mars 2025, dès après la réception de la décision de remboursement de l’indu du 13 mars 2025, puis son action du 17 mars 2025, lorsqu’il a téléphoné à la SUVA pour expliquer qu’il n’était pas d’accord de rembourser l’intimée en raison de l’erreur de cette dernière et que de toute façon il n’avait pas d’argent pour payer les factures de mars 2025 et allait consulter un avocat. Si le recourant avait véritablement été dans l’ignorance non fautive du fait qu’il n’avait plus droit aux prestations, il se serait prioritairement enquis des raisons pour lesquelles l’intimée n’avait pas tenu compte de sa prétendue opposition ou des raisons médicales qui, selon lui, justifiaient la continuation du paiement des indemnités journalières. Au lieu de cela, le recourant a simplement indiqué à l’intimée qu’il refusait de la rembourser, en raison de l’erreur commise par cette dernière.</w:t>
      </w:r>
    </w:p>
    <w:p>
      <w:r>
        <w:rPr>
          <w:b/>
        </w:rPr>
        <w:t>E. 6.4</w:t>
      </w:r>
    </w:p>
    <w:p>
      <w:r>
        <w:t>Il résulte de ce qui précède que la bonne foi doit être niée, dès lors que le recourant pouvait, au moment du versement des indemnités journalières après le 23 juin 2024,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7.1</w:t>
      </w:r>
    </w:p>
    <w:p>
      <w:r>
        <w:t>A l’aune de ces éléments, le recours sera rejeté.</w:t>
      </w:r>
    </w:p>
    <w:p>
      <w:r>
        <w:rPr>
          <w:b/>
        </w:rPr>
        <w:t>E. 7.2</w:t>
      </w:r>
    </w:p>
    <w:p>
      <w:r>
        <w:t>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