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A/3565/2022 vom 24. September 2024</w:t>
      </w:r>
    </w:p>
    <w:p>
      <w:r>
        <w:t>GE Cour de justice, 2024-09-24, FR</w:t>
      </w:r>
    </w:p>
    <w:p>
      <w:r>
        <w:rPr>
          <w:b/>
        </w:rPr>
        <w:t xml:space="preserve">Quelle: </w:t>
      </w:r>
      <w:r>
        <w:t>https://mcp.opencaselaw.ch/entscheid/ge_gerichte_A_3565_2022</w:t>
      </w:r>
    </w:p>
    <w:p>
      <w:r>
        <w:t>FR: GE_GERICHTE A/3565/2022 du 24 septembre 2024</w:t>
      </w:r>
    </w:p>
    <w:p>
      <w:r>
        <w:t>IT: GE_GERICHTE A/3565/2022 del 24 settembre 2024</w:t>
      </w:r>
    </w:p>
    <w:p>
      <w:pPr>
        <w:pStyle w:val="Heading2"/>
      </w:pPr>
      <w:r>
        <w:t>Regeste</w:t>
      </w:r>
    </w:p>
    <w:p>
      <w:r>
        <w:t>DROIT DES ÉTRANGERS;RESSORTISSANT ÉTRANGER;LOI FÉDÉRALE SUR LES ÉTRANGERS ET L'INTÉGRATION;SÉJOUR;AUTORISATION DE SÉJOUR;RENVOI(DROIT DES ÉTRANGERS);VIOLENCE DOMESTIQUE;CAS DE RIGUEUR | Raisons personnelles majeures au sens de l'art. 50 al. 2 LEI, violence conjugale. Ressortissante brésilienne née en 1966, ayant épousé un Suisse (d'origine brésilienne) en juillet 2017. Séparation en octobre 2019, décès de l'époux en juin 2020. Pas de violences physiques attestées, mais violences psychologiques avérées (plainte pénale, témoignage, certificats médicaux) : insultes et menaces de mort sérieuses, causales dans la séparation et se poursuivant même au-delà. Caractère grave et systématique retenu. Conformément à la pratique du Tribunal fédéral, qui n'examine dans de tels cas pas les critères d'intégration ni les autres hypothèses de raisons personnelles majeures (not. celles de l'art. 31 OASA par analogie), recours admis et cause renvoyée à l'OCPM pour proposer au SEM la prolongation de l'autorisation de séjour. | LEI.1; LEI.2; LEI.42.al1; LEI.50.al1.leta; LEI.50.al1.letb; LEI.50.al2; LEI.99.al1; OASA.77.al5; OASA.77.al6; OASA.77.al6BIS; OA-DFJP.4.letd</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l'intimé de ne pas renouveler l'autorisation de séjour de la recourante et de prononcer son renvoi de Suisse.</w:t>
      </w:r>
    </w:p>
    <w:p>
      <w:r>
        <w:rPr>
          <w:b/>
        </w:rPr>
        <w:t>E. 2.1</w:t>
      </w:r>
    </w:p>
    <w:p>
      <w:r>
        <w:t>Le 1 er janvier 2019 est entrée en vigueur une modification de la loi sur les étrangers du 16 décembre 2005 (LEtr), qui a alors été renommée LEI, et de l'ordonnance relative à l'admission, au séjour et à l'exercice d'une activité lucrative du 24 octobre 2007 (OASA - RS 142.201). Le nouveau droit s'applique en l'espèce, la demande de renouvellement du permis de séjour datant du 21 juin 2021 et, surtout, l'OCPM ayant annoncé son intention de refuser de prolonger l'autorisation de la recourante le 23 juin 2022 (arrêt du Tribunal fédéral 2C_145/2022 du 6 avril 2022 consid. 5) – étant précisé cependant que la plupart des dispositions de la LEI sont demeurées identiques.</w:t>
      </w:r>
    </w:p>
    <w:p>
      <w:r>
        <w:rPr>
          <w:b/>
        </w:rPr>
        <w:t>E. 2.2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w:t>
      </w:r>
    </w:p>
    <w:p>
      <w:r>
        <w:rPr>
          <w:b/>
        </w:rPr>
        <w:t>E. 2.3</w:t>
      </w:r>
    </w:p>
    <w:p>
      <w:r>
        <w:t>Aux termes de l'art. 42 al. 1 LEI, le conjoint étranger d’un ressortissant suisse a droit à l’octroi d’une autorisation de séjour et à la prolongation de sa durée de validité, à condition de vivre en ménage commun avec lui. Toutefois et compte tenu de la séparation du couple (laquelle s'est produite avant le décès du conjoint), les dispositions relatives à la dissolution de la famille s'appliquent à la situation juridique actuelle de la recourante (art. 50 et ss LEI).</w:t>
      </w:r>
    </w:p>
    <w:p>
      <w:r>
        <w:rPr>
          <w:b/>
        </w:rPr>
        <w:t>E. 2.4</w:t>
      </w:r>
    </w:p>
    <w:p>
      <w:r>
        <w:t>Aux termes de l'art. 50 al. 1 let. a LEI, après dissolution de la famille, le droit du conjoint à l'octroi d'une autorisation de séjour et à la prolongation de sa durée de validité en vertu notamment de l'art. 42 LEI subsiste lorsque l'union conjugale a duré au moins trois ans et que l'intégration est réussie (art. 50 al. 1 let. a LEI).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ATA/1046/2024 du 3 septembre 2024 consid. 3.7.1).</w:t>
      </w:r>
    </w:p>
    <w:p>
      <w:r>
        <w:rPr>
          <w:b/>
        </w:rPr>
        <w:t>E. 2.5</w:t>
      </w:r>
    </w:p>
    <w:p>
      <w:r>
        <w:t>En l'espèce, les époux ont fait ménage commun en Suisse du 23 juillet 2017, date de l'arrivée en Suisse de la recourante à la suite de son mariage au Brésil, au 6 octobre 2019, date à laquelle la recourante a quitté le domicile conjugal et à partir de laquelle elle n'a plus jamais fait ménage commun avec son époux. La recourante ne peut en conséquence pas se prévaloir de l’art. 50 al. 1 let. a LEI, ce qu’elle ne conteste d'ailleurs pas.</w:t>
      </w:r>
    </w:p>
    <w:p>
      <w:r>
        <w:rPr>
          <w:b/>
        </w:rPr>
        <w:t>E. 2.6</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2.7</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sa durée, ainsi que les pressions subjectives qui en résultent (arrêts du Tribunal fédéral 2C_465/2023 du 6 mars 2024 consid. 4.1 ; 2C_693/2019 du 21 janvier 2020 consid. 4.4). Des affirmations d'ordre général ou des indices faisant état de tensions ponctuelles sont insuffisants (ATF 138 II 229 consid. 3.2.3 ; arrêts du Tribunal fédéral 2C_12/2018 précité consid. 3.2 ; 2C_401/2018 du 17 septembre 2018 consid. 4.2).</w:t>
      </w:r>
    </w:p>
    <w:p>
      <w:r>
        <w:rPr>
          <w:b/>
        </w:rPr>
        <w:t>E. 2.8</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2.9</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2.10</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ATA/466/2023 du 2 mai 2023 consid. 4.7 et l'arrêt cité).</w:t>
      </w:r>
    </w:p>
    <w:p>
      <w:r>
        <w:rPr>
          <w:b/>
        </w:rPr>
        <w:t>E. 2.11</w:t>
      </w:r>
    </w:p>
    <w:p>
      <w:r>
        <w:t>En l'espèce, comme déjà exposé, la vie commune a été d'assez courte durée, soit 26 mois environ. La recourante a fourni un certain nombre d'éléments pour étayer les violences qu'elle allègue, quand bien même les certificats médicaux fournis ont été rédigés après la séparation du couple. Au surplus, bien que le certificat médical du 3 juillet 2022 fasse brièvement état de violences physiques et qu'une attestation rédigée par un ex-collègue de la recourante fasse mention d'une gifle, l'existence de telles violences, du moins graves ou systématiques, de la part de feu l'époux de la recourante peut être exclue. Le certificat médical plus récent et plus complet daté du 12 octobre 2022 ne les mentionne plus. Aussi et surtout, lors de son audition par la police le 19 mars 2020, la recourante a expressément déclaré que son époux n'avait pas commis de violences physiques à son égard, et du reste elle avait déposé une plainte pénale exclusivement pour injures et menaces, et non pour lésions corporelles ou voies de fait. On peut considérer en revanche comme prouvée l'existence de violences psychologiques à l'égard de la recourante de la part de feu son mari, de nombreux éléments attestant de l'existence de menaces graves et réitérées proférées par ce dernier. De plus, on peut relever que la séparation a suivi de peu l'épisode de menaces du 6 octobre 2019, de sorte à confirmer l'allégation de la recourante selon laquelle elle avait été contrainte de quitter le domicile en raison de violences conjugales. Les menaces dont la recourante ont fait l'objet de la part de feu son époux ont un caractère grave – feu son époux avait menacé de la tuer avec de l'acide, substance qui a été retrouvée à son domicile – et récurrent, persistant même après la séparation du couple. Il en résulte que la recourante peut se prévaloir de raisons personnelles majeures au sens de l'art. 50 al. 1 let. b et al. 2 LEI. Dans ces conditions, point n'est besoin d'examiner si d'autres raisons personnelles majeures sont données, en particulier en examinant les critères énumérés à l'art. 31 al. 1 OASA à propos des cas individuels d'extrême gravité, étant relevé que lorsqu'il admet l'existence de violence conjugale au sens de l'art. 50 al. 2 LEI, le Tribunal fédéral octroie ou prolonge l'autorisation de séjour ou approuve un tel octroi ou une telle prolongation (arrêts du Tribunal fédéral 2C_465/2023 précité consid. 4.4.5 ; 2C_1004/2020 du 23 mars 2021 consid. 4.3 et 4.4 ; 2C_423/2020 du 26 août 2020 consid. 2.4 et 5.1 ; 2C_776/2019 du 14 avril 2020 consid. 5.5 ; 2C_915/2019 du 13 mars 2020 consid. 5.9 ; 2C_922/2019 du 26 février 2020 consid. 5.5.3 ; 2C_693/2019 précité consid. 5). Le recours sera ainsi admis, le jugement attaqué annulé et la cause renvoyée à l'intimé afin qu'il préavise favorablement la prolongation de l'autorisation de séjour de la recourante. En effet, l'OCPM ne peut en effet pas prolonger une autorisation de séjour après la dissolution de l’union conjugale ou le décès du conjoint sans approbation de l'autorité fédérale (art. 99 al. 1 LEI cum art. 4 let. d de l'ordonnance du département fédéral de justice et police relative aux autorisations et aux décisions préalables dans le domaine du droit des étrangers soumises à la procédure d’approbation, du 13 août 2015 - OA-DFJP - RS 142.2011).</w:t>
      </w:r>
    </w:p>
    <w:p>
      <w:r>
        <w:rPr>
          <w:b/>
        </w:rPr>
        <w:t>E. 3</w:t>
      </w:r>
    </w:p>
    <w:p>
      <w:r>
        <w:t>Vu l'issue du litige, aucun émolument ne sera perçu (art. 87 al. 1 LPA) et une indemnité de CHF 1'000.- sera allouée à la recourante, qui y a conclu et s'est fait assister par un conseil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