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A/3561/2022 vom 31. Oktober 2023</w:t>
      </w:r>
    </w:p>
    <w:p>
      <w:r>
        <w:t>GE Cour de justice, 2023-10-31, FR</w:t>
      </w:r>
    </w:p>
    <w:p>
      <w:r>
        <w:rPr>
          <w:b/>
        </w:rPr>
        <w:t xml:space="preserve">Quelle: </w:t>
      </w:r>
      <w:r>
        <w:t>https://mcp.opencaselaw.ch/entscheid/ge_gerichte_A_3561_2022</w:t>
      </w:r>
    </w:p>
    <w:p>
      <w:r>
        <w:t>FR: GE_GERICHTE A/3561/2022 du 31 octobre 2023</w:t>
      </w:r>
    </w:p>
    <w:p>
      <w:r>
        <w:t>IT: GE_GERICHTE A/3561/2022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refus de l’autorité intimée de renouveler l’autorisation de séjour du recourant et son renvoi de Suisse.![endif]&gt;![if&gt;</w:t>
      </w:r>
    </w:p>
    <w:p>
      <w:r>
        <w:rPr>
          <w:b/>
        </w:rPr>
        <w:t>E. 2.1</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142.201).![endif]&gt;![if&gt; Conformément à la règle générale posée à l'art. 126 al. 1 LEI, c'est le nouveau droit matériel qui est applicable, dès lors que l’OCPM a informé le recourant de son intention de ne pas prolonger son autorisation de séjour le 6 juillet 2022 (arrêts du Tribunal fédéral 2C_145/2022 du 6 avril 2022 consid. 5 ; 2C_586/2020 du 26 novembre 2020 consid. 3.1 et les arrêts cités).</w:t>
      </w:r>
    </w:p>
    <w:p>
      <w:r>
        <w:rPr>
          <w:b/>
        </w:rPr>
        <w:t>E. 2.2</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Cuba.![endif]&gt;![if&gt;</w:t>
      </w:r>
    </w:p>
    <w:p>
      <w:r>
        <w:rPr>
          <w:b/>
        </w:rPr>
        <w:t>E. 2.3</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 De telles raisons peuvent en particulier découler d'une relation digne de protection avec un enfant qui a le droit de séjourner en Suisse (ATF 143 I 21 consid. 4.1 ; 139 I 315 consid. 2.1 p. 318 s.). Il convient alors d'apprécier la situation dans son ensemble et d'appliquer la loi de manière conforme au droit constitutionnel (art. 13 al. 1 de la Constitution fédérale de la Confédération suisse du 18 avril 1999 (Cst. - RS 101)) et conventionnel (ATF 143 I 21 consid. 4.1 p. 24 s.; arrêts du Tribunal fédéral 2C_1050/2016 du 10 mars 2017 consid. 5.1; 2C_1125/2014 du 9 septembre 2015 consid. 4.1 et les références). Les prétentions découlant de l'art. 50 al. 1 let. b LEI ne sont, dans les limites de son champ d'application, en principe pas moins étendues que celles découlant des art. 13 al. 1 Cst. et 8 CEDH et se recoupent partiellement avec ces dernières (ATF 143 I 21 consid. 4.1 p. 25 et les arrêts cités; arrêt 2C_1050/2016 du 10 mars 2017 consid. 5.1). ![endif]&gt;![if&gt;</w:t>
      </w:r>
    </w:p>
    <w:p>
      <w:r>
        <w:rPr>
          <w:b/>
        </w:rPr>
        <w:t>E. 2.4</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1.3.2).![endif]&gt;![if&gt;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(ATF 137 I 284 consid. 2.1 p. 288; 135 I 153 consid. 2.2.1 p. 156). Le refus d'octroyer une autorisation de séjour (ou d'établissement) fondé sur l'art. 8 par. 2 CEDH ne se justifie que si la pesée des intérêts à effectuer dans le cas d'espèce fait apparaître la mesure comme proportionnée aux circonstances (ATF 139 I 145 consid. 2.2 p. 147 s.; 135 II 377 consid. 4.3 p. 381). Cette condition correspond aux exigences de l'art. 96 LEI (ATF 137 I 284 consid. 2.1 p. 287 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(ATF 139 I 145 consid. 2.3 p. 148 s.; 135 II 377 consid. 4.3 et 4.4 p. 381 s.; 130 II 176 consid. 4.1 p. 185).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Cst.), il suffit en règle générale que le parent vivant à l'étranger exerce son droit de visite dans le cadre de séjours de courte durée, au besoin en aménageant ses modalités quant à la fréquence et à la durée, ou en recourant aux moyens de communication traditionnels et modernes transfrontaliers (ATF 143 I 21 consid. 5.3 ; 139 I 315 consid. 2.2 ; arrêt du Tribunal fédéral 2C_1050/2016 du 10 mars 2017 consid. 6.2).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6.2 ; 140 I 145 consid. 3.2 ; 139 I 315 consid. 2.2 ; arrêt du Tribunal fédéral 2C_1050/2016 du 10 mars 2017 consid. 6.1). Ces exigences doivent être appréciées ensemble et faire l'objet d'une pesée des intérêts globale (arrêts du Tribunal fédéral 2C_1066/2016 du 31 mars 2017 consid. 4.2 ; 2C_520/2016 du 13 janvier 2017 consid. 4.2 et les arrêts cités). Dans le cadre de l'examen de la proportionnalité de la mesure (art. 8 par.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 8 novembre 2016 [requête n° 56971/10], par. 27 s. et 46 s.), étant précisé que, sous l'angle du droit des étrangers, cet élément n'est pas prépondérant par rapport aux autres (ATF 143 I 21 consid. 5.5.1 ; 139 I 315 consid. 2.4 ; arrêts du Tribunal fédéral 2C_1050/2016 du 10 mars 2017 consid. 1 ; 2C_997/2015 du 30 juin 2016 consid. 4.3 ; 2C_497/2014 du 26 octobre 2015 consid. 5.1) et que l'art. 3 CDE qui le protège ne saurait fonder une prétention directe à l'octroi ou au maintien d'une autorisation (ATF 140 I 145 consid. 3.2 ; 139 I 315 consid. 2.4 s. ; arrêts du Tribunal fédéral 2C_1050/2016 du 10 mars 2017 consid. 5.1 ; 2C_165/2016 du 8 septembre 2016 consid. 5.3). 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 ATF 139 I 315 consid. 2.5 ; aussi ATF 140 I 145 consid. 3.2 ; arrêts du Tribunal fédéral 2C_520/2016 du 13 janvier 2017 consid. 4.3 ; 2C_420/2015 du 1 er octobre 2015 consid. 2.3 ; 2C_794/2014 du 23 janvier 2015 consid. 3.2).</w:t>
      </w:r>
    </w:p>
    <w:p>
      <w:r>
        <w:rPr>
          <w:b/>
        </w:rPr>
        <w:t>E. 2.5</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À teneur de l'art. 31 al. 1 OASA, lors de l'appréciation de l'existence d'un cas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w:t>
      </w:r>
    </w:p>
    <w:p>
      <w:r>
        <w:rPr>
          <w:b/>
        </w:rPr>
        <w:t>E. 2.6</w:t>
      </w:r>
    </w:p>
    <w:p>
      <w:r>
        <w:t>En l’espèce, il n’est pas contesté que la condition de la durée minimale de trois ans de vie conjugale effective prévue par l’art. 50 al. 1 let. a LEI n’est pas réalisée. Le couple s’est en effet séparé le 16 février 2020 après deux ans de vie commune. ![endif]&gt;![if&gt; Il convient donc d’examiner si le recourant peut se prévaloir de raisons personnelles majeures au sens de l’art. 50 al. 1 let. b et al. 2 LEI. Devant la chambre de céans, le recourant se prévaut uniquement du lien avec sa fille. Il ressort du dossier que le recourant jouit de l’autorité parentale conjointe, bien que limitée, sur sa fille, ressortissante suisse, qui a le droit de résider durablement en Suisse. Force est toutefois de constater que, selon le jugement de divorce du 20 juin 2023, son droit de visite est fixé à un samedi ou un dimanche toutes les deux semaines, sur le temps de l’activité extrascolaire de sa fille, ce qui est relativement retreint. Le jugement sur mesures protectrices de l’union conjugale du 29 juillet 2021 lui avait attribué un droit de visite d’une heure trente par semaine au Point Rencontre, durant trois mois, puis une demi-journée par semaine avec passage au Point Rencontre, ce qui est également en-deçà du droit de visite usuel selon les standards d’aujourd’hui. L’instance précédente a par ailleurs relevé, sans que cela n’ait été contesté par le recourant, que les relations avec sa fille n’avaient débuté de manière effective qu’en octobre 2021. L’exercice du droit de visite avait dû cesser le 14 décembre 2021, en raison de l’absence du recourant. Un nouveau droit de visite avait été mis en place à partir du 25 février 2022, mais, à nouveau, il avait été supprimé à partir du 26 août 2022, en raison des retards et absences du recourant. Sur proposition de la mère de l’enfant, un nouveau droit de visite avait débuté le 15 octobre 2022. Toutefois, à s’en tenir au dossier, en particulier le rapport SEASP du 30 janvier 2023, le courrier adressé par la curatrice au TPAE le 28 avril 2023, le jugement de divorce du 20 juin 2023 et le courrier de son ex-épouse du 29 juin 2023, les absences et retards ont perduré. Le recourant l’admet du reste lui-même dans sa réplique, puisqu’il reconnait avoir été absent les 13 et 28 mai 2023 pour des « raisons personnelles ». Il ressort par ailleurs du jugement de divorce du 20 juin 2023 que la curatrice a reçu des courriels du recourant desquels il ressortait sa difficulté à être à l’heure et le malaise qui en découlait dans le déroulement des activités. Ainsi, sur la base de l’ensemble de ces éléments, on ne saurait retenir que les contacts personnels sont effectivement exercés dans le cadre d’un droit de visite usuel au sens de la jurisprudence susmentionnée. Le recourant, qui ne conteste pas ces faits, se limite à affirmer sa volonté de continuer à construire le lien avec sa fille et à s’investir dans son rôle de père. Or, au vu des absences et retards répétés dans l’exercice de son droit de visite, les intentions du recourant, certes louables, ne suffisent pas pour démontrer une relation personnelle d'une intensité suffisante au sens de la jurisprudence. C’est partant à juste titre que l’autorité précédente a nié l’existence de relations personnelles étroites et effectives avec l’enfant d’un point de vue affectif. Sous l’angle économique, le recourant est astreint au versement d’une contribution d’entretien de CHF 150.- par mois dès le 1 er octobre 2023 (jugement de divorce du 20 juin 2023). Cette contribution a été fixée en équité en tenant compte d’un revenu hypothétique de CHF 3'500.- par mois. Il ressort toutefois du dossier que le recourant n’exerce aucune activité lucrative et émarge à l’aide sociale depuis janvier 2022. S’ajoute à cela que le jugement sur mesures provisionnelles du TPI du 29 juillet 2021 avait pris acte de son engagement à verser à B______ à titre de contribution à l’entretien d’C______ CHF 100.- par mois dès le 1 er mai 2021. Les pièces produites par le recourant n’attestent toutefois d’un tel versement que pour les mois de juin, juillet et août 2021, ainsi que novembre et décembre 2021. Le dossier ne contient aucune pièce justifiant d’un versement à ce titre dès janvier 2022. Dans son courrier du 29 juin 2023, B______ a d’ailleurs confirmé qu’elle ne percevait plus de pension alimentaire, raison pour laquelle le SCARPA avait dû intervenir, ce que le recourant ne conteste pas. Dans ces conditions, il ne saurait être considéré que le recourant a la volonté de contribuer aux besoins de sa fille. Ainsi, en l’absence de relations affectives et économiques particulièrement fortes, il convient de retenir que son lien avec sa fille ne justifie pas à lui seul la prolongation de son séjour en Suisse. Le grief de violation de l’art. 8 CEDH apparaît ainsi mal fondé. La chambre de céans relèvera pour le reste que le recourant n’invoque aucun élément qui pourrait justifier la poursuite de son séjour sous l’angle des critères d’appréciation du cas de rigueur. Il ne se trouve en Suisse que depuis cinq ans. Il ne saurait être considéré comme étant intégré professionnellement, étant précisé que, selon le jugement de divorce, il n’a pas travaillé durant la vie commune. Son curriculum vitae ne mentionne d’ailleurs que quelques activités professionnelles de courte durée et les preuves de recherches d’emploi produites au dossier ne permettent pas de retenir qu’il ait véritablement cherché à s'insérer dans le monde du travail et à gagner un revenu qui lui permettrait de subvenir aux besoins de sa fille. S’ajoute à cela, comme déjà mentionné, qu’il dépend de l’aide sociale depuis, à tout le moins janvier 2022. Par ailleurs, hormis ses relations avec sa fille, dont il n’est pas démontré qu’elles sont spécialement intenses, il n'allègue pas avoir tissé des liens particuliers avec la Suisse. Quant à ses possibilités de réintégration dans son pays d'origine, il ressort de l'arrêt attaqué que l'intéressé a passé à Cuba son enfance, son adolescence et les premières années de sa vie d'adulte, soit jusqu'à 25 ans. On peut donc présumer qu'il y conserve des attaches culturelles, sociales et familiales. Son éloignement ne l'empêchera de surcroît pas d'entretenir des contacts réguliers avec sa fille et de contribuer financièrement à son entretien. C’est partant à juste titre que tant l'autorité intimée, qui n'a pas abusé de son pouvoir d'appréciation, que le TAPI ont retenu que les conditions pour renouveler l’autorisation de séjour du recourant n’étaient pas réalisées.</w:t>
      </w:r>
    </w:p>
    <w:p>
      <w:r>
        <w:rPr>
          <w:b/>
        </w:rPr>
        <w:t>E. 3</w:t>
      </w:r>
    </w:p>
    <w:p>
      <w:r>
        <w:t>Il convient encore d’examiner si la décision de renvoi est fondée.![endif]&gt;![if&gt;</w:t>
      </w:r>
    </w:p>
    <w:p>
      <w:r>
        <w:rPr>
          <w:b/>
        </w:rPr>
        <w:t>E. 3.1</w:t>
      </w:r>
    </w:p>
    <w:p>
      <w:r>
        <w:t>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w:t>
      </w:r>
    </w:p>
    <w:p>
      <w:r>
        <w:rPr>
          <w:b/>
        </w:rPr>
        <w:t>E. 3.2</w:t>
      </w:r>
    </w:p>
    <w:p>
      <w:r>
        <w:t>En l’espèce, le recourant n’allègue pas que l'exécution de son retour dans son pays d’origine serait impossible, illicite ou inexigible au regard de l’art. 83 LEI et le dossier ne laisse pas apparaître d’éléments qui tendraient à démontrer le contraire. Les difficultés alléguées de réintégration ont été examinées ci-avant. Elles ne tombent pas sous le coup de l’art. 83 LEI.![endif]&gt;![if&gt; Entièrement mal fondé, le recours sera rejeté.</w:t>
      </w:r>
    </w:p>
    <w:p>
      <w:r>
        <w:rPr>
          <w:b/>
        </w:rPr>
        <w:t>E. 4</w:t>
      </w:r>
    </w:p>
    <w:p>
      <w:r>
        <w:t>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