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A/3559/2017 vom 8. Mai 2018</w:t>
      </w:r>
    </w:p>
    <w:p>
      <w:r>
        <w:t>GE Cour de justice, 2018-05-08, FR</w:t>
      </w:r>
    </w:p>
    <w:p>
      <w:r>
        <w:rPr>
          <w:b/>
        </w:rPr>
        <w:t xml:space="preserve">Quelle: </w:t>
      </w:r>
      <w:r>
        <w:t>https://mcp.opencaselaw.ch/entscheid/ge_gerichte_A_3559_2017</w:t>
      </w:r>
    </w:p>
    <w:p>
      <w:r>
        <w:t>FR: GE_GERICHTE A/3559/2017 du 8 mai 2018</w:t>
      </w:r>
    </w:p>
    <w:p>
      <w:r>
        <w:t>IT: GE_GERICHTE A/3559/2017 del 8 maggio 2018</w:t>
      </w:r>
    </w:p>
    <w:p>
      <w:pPr>
        <w:pStyle w:val="Heading2"/>
      </w:pPr>
      <w:r>
        <w:t>Regeste</w:t>
      </w:r>
    </w:p>
    <w:p>
      <w:r>
        <w:t>PLAN DIRECTEUR ; ZONE DE VILLAS ; ZONE RÉSERVÉE ; GARANTIE DE LA PROPRIÉTÉ ; INTÉRÊT PUBLIC ; PROPORTIONNALITÉ ; DROIT D'ÊTRE ENTENDU ; SÉCURITÉ DU DROIT ; LÉGALITÉ ; EFFET ANTICIPÉ ; INTERPRÉTATION(SENS GÉNÉRAL) |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 | Cst.26.al1; LAT.27; RaLAT.10; LaLAT.13C; LAT.4; Cst.29.al2</w:t>
      </w:r>
    </w:p>
    <w:p>
      <w:pPr>
        <w:pStyle w:val="Heading2"/>
      </w:pPr>
      <w:r>
        <w:t>Erwägungen</w:t>
      </w:r>
    </w:p>
    <w:p>
      <w:r>
        <w:rPr>
          <w:b/>
        </w:rPr>
        <w:t>E. 2</w:t>
      </w:r>
    </w:p>
    <w:p>
      <w:r>
        <w:t>et 15 ad art. 27) ; elle permet notamment d'interdire temporairement toute construction (DFJP/OFAT, op. cit., n° 13 ad art. 27). Une telle mesure doit cependant, en vertu du droit fédéral, être limitée dans le temps (art. 27 al. 2 LAT).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ZBl 1987 396, p. 407). La mesure doit être levée dès qu'elle n'est plus nécessaire (Alexander RUCH, Commentaire LAT, n° 56 ad art. 27 LAT ; Berhnard WALDMANN/Peter HÄNNI, Raumplanungsgesetz, Berne 2006, n° 16 ad art. 27 LAT ; arrêt du Tribunal fédéral 1P.365/2006 du 5 octobre 2006 consid. 3.1 et 3.4). L'art. 27 LAT est considéré comme une base légale suffisante et ne nécessite pas de dispositions cantonales d'exécution (DFJP/OFAT, op. cit., n° 7 et 12 ad art. 27). L'intérêt public attaché à la création d'une zone réservée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p. 365-367; 105 Ia 223 consid. 2d p. 228 s. ; arrêt du Tribunal fédéral 1P.365/2006 du 5 octobre 2006 consid. 3.1). 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de la loi sur l'extension des voies de communication et l'aménagement des quartiers ou localités du 9 mars 1929 (LExt - L 1 40 ; al. 3). Si les circonstances le justifient, le Conseil d'État peut modifier ou abroger une ZR avant l'expiration du délai prévu à l'al. 1 ; la procédure est identique à celle prévue à l'al. 3 (al. 4). 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 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p. 299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p. 138 ; ATA/653/2014 ). f. Dans un arrêt récent du 13 juin 2017 ( ATA/659/2017 consid. 6) examinant le bien-fondé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 g. En l'occurrence, les recourants ne font, à juste titre, pas valoir que l'existence d'une base légale ferait défaut. En effet, tel que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 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 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 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 Finalement, le préavis de la commune revêtant un caractère consultatif, il n'appartient pas à la chambre de céans de revoir l'opportunité de la décision du Conseil d'État ou du département. 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 Il résulte de ce qui précède que le Conseil d'État pouvait valablement rejeter l'opposition des recourants quant à l'instauration de la ZR n° 30032-527, intégrant les parcelles de certains d'entre eux. 6) Subsidiairement, les recourants considèrent que la durée effective de la mesure, soit la ZR n° 30032-527, dépasserait celle autorisée par le droit fédéral, soit cinq ans, puisqu'elle aurait commencé à courir dès la publication de la carte au mois de juillet 2015 sur le site internet du département. ![endif]&gt;![if&gt; 7) 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publicité.![endif]&gt;![if&gt; À cet égard, il était prévu que le département supprime sans délai toute carte identifiant des ZR si celles-ci n’ont pas été adoptées selon la procédure visée à l’article 13C al. 4 LaLAT (art. 36 al. 5 LaLAT). 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DALE avaient confirmé leur intention de ne pas cumuler les ZR et d'autres mesures conservatoires telles que le refus conservatoire (PL 12023-A p. 5). 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DALE,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 [En ligne], séance du 12 mai 2017 à 14h, disponible sur http://ge.ch/grandconseil/memorial/seances/010403/14/23/#1563983). b. L'art. 4 LAT se distingue de l'art. 29 al. 2 Cst., dès lors que les deux dispositions poursuivent des buts différents (ATF 135 II 286 consid. 4 p. 290).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 Le droit fédéral ne définit pas l'étendue de l'information et de la participation prévues à l'art. 4 LAT. Si l'organisation de séances d'information constitue un moyen efficace de mettre en œuvre cette disposition, il ne s'agit pas d'une obligation légale (DFJP/OFAT, op.cit., n° 7 ad art. 4). L'art. 4 al. 1 LAT implique ainsi que la collectivité publique fournisse à la population l'information qui lui est nécessaire pour se forger valablement une opinion (DFJP/OFAT, op.cit., n°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p. 124 et les références).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 3 ad art. 4 ; Peter HÄNNI, Planungs-, Bau- und besonderes Umweltschutzrecht, Berne 2016, p. 140). L'art. 4 al. 1 et 2 LAT donne ainsi un mandat législatif aux cantons, à qui il appartient de déterminer le type d'information et les autorités compétentes (ATF 135 II 286 consid. 4.1 p. 290 ; arrêt du Tribunal fédéral 1C_266/2016 du 14 juin 2017 consid. 2.1). 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 55 ad art. 27 LAT et les références citées). 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territoire qui n'avaient pourtant pas encore été formellement adoptées. Les principaux intéressés, les propriétaires des parcelles concernées, n'en avaient d'ailleurs même pas encore été informés,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DALE a maintenu la publication de ladite carte sur son site internet, se contentant de l'actualiser le 23 mars 2016 en réduisant la portée des ZR. 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 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 à 15 %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 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8) À titre principal, le recours sera rejeté s’agissant de l'instauration de la ZR n° 30032-527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DALE. ![endif]&gt;![if&gt; 9) Vu l’issue du litige et dans la mesure où les recourants succombent sur l'essentiel de leur recours,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