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A/3558/2020 vom 14. April 2021</w:t>
      </w:r>
    </w:p>
    <w:p>
      <w:r>
        <w:t>GE Cour de justice, 2021-04-14, FR</w:t>
      </w:r>
    </w:p>
    <w:p>
      <w:r>
        <w:rPr>
          <w:b/>
        </w:rPr>
        <w:t xml:space="preserve">Quelle: </w:t>
      </w:r>
      <w:r>
        <w:t>https://mcp.opencaselaw.ch/entscheid/ge_gerichte_A_3558_2020</w:t>
      </w:r>
    </w:p>
    <w:p>
      <w:r>
        <w:t>FR: GE_GERICHTE A/3558/2020 du 14 avril 2021</w:t>
      </w:r>
    </w:p>
    <w:p>
      <w:r>
        <w:t>IT: GE_GERICHTE A/3558/2020 del 14 aprile 2021</w:t>
      </w:r>
    </w:p>
    <w:p>
      <w:pPr>
        <w:pStyle w:val="Heading2"/>
      </w:pPr>
      <w:r>
        <w:t>Volltext</w:t>
      </w:r>
    </w:p>
    <w:p>
      <w:r>
        <w:t>Genève Cour de justice (Cour de droit public) Chambre administrative 14.04.2021 A/3558/2020</w:t>
      </w:r>
    </w:p>
    <w:p>
      <w:r>
        <w:t>A/3558/2020 ATA/414/2021 du 14.04.2021 ( DOMPU ) , REFUSE RÉPUBLIQUE ET CANTON DE GENÈVE POUVOIR JUDICIAIRE A/3558/2020 - DOMPU ATA/414/2021 COUR DE JUSTICE Chambre administrative Décision du 14 avril 2021 sur effet suspensif dans la cause Madame et Monsieur A______ et Monsieur B______ et Madame C______ et Madame D______ et Monsieur E______ et Madame et Monsieur F______ et Monsieur G______ représentés par Mes Bernard Nuzzo et Samir Djaziri, avocats contre Monsieur H______ et I______ représentés par Me Alexandre Ayad, avocat et VILLE DE GENÈVE - SERVICE DE L'ESPACE PUBLIC Attendu, en fait, que le service de l'espace public (ci-après : SEP) de la Ville de Genève (ci-après : la ville) a, par décision du 15 septembre 2020, autorisé Monsieur H______, exploitant du café I______ (ci-après : I______), sis Bd J______ à K______, à installer et exploiter une terrasse selon les modalités prévues dans ladite décision ; que par acte déposé le 6 novembre 2020, Madame et Monsieur A______, Monsieur B______, Madame C______, Madame D______ et Monsieur E______, Madame et Monsieur F______ ainsi que Monsieur G______, tous domiciliés dans l'immeuble sis rue L______, et situé en face d'I______, ont interjeté recours auprès de la chambre administrative de la Cour de justice (ci-après : la chambre administrative) contre la décision précitée, concluant principalement à son annulation, à la limitation de l'ouverture de la terrasse et à l'interdiction de consommer debout après 22h00 les soirs d'ouverture, ainsi qu'à l'octroi d'une indemnité de procédure ; que le recours est motivé par les nuisances sonores engendrées par l'exploitation de la terrasse en cause ; que les recourants ont indiqué dans leur acte de recours (p. 17) ne pas voir d'objection à ce que l'effet suspensif à leur recours soit retiré ; que M. H______ a demandé formellement, par courrier du 2 décembre 2020, le retrait de l'effet suspensif au recours ; que le 8 décembre 2020, la ville a indiqué souscrire à ladite demande ; que le 15 décembre 2020, les recourants ont confirmé acquiescer à cette demande ; que les établissements publics ont été fermés, dans le cadre des mesures prises par le Conseil d'État et le Conseil fédéral pour lutter contre l'épidémie de coronavirus, entre le 2 novembre et le 9 décembre 2020, et le sont encore à ce jour, ce depuis le 22 décembre 2020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dont fait partie la restitution et le retrait de l'effet suspensif, ne sont légitimes que si elles s'avèrent indispensables au maintien d'un état de fait ou à la sauvegarde d'intérêts compromis (ATF 119 V 503 consid. 3 ; ATA/288/2021 du 3 mars 2021 ; ATA/1043/2020 du 19 octobre 2020 ; ATA/303/2020 du 19 mars 2020) ; que, par ailleurs, l'octroi de mesures provisionnelles présuppose l'urgence, à savoir que le refus de les ordonner crée pour l'intéressé la menace d'un dommage difficile à réparer (ATF 130 II 149 consid. 2.2 ; 127 II 132 consid. 3)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lors du prononcé de mesures provisionnelles, l'autorité de recours dispose d'un large pouvoir d'appréciation qui varie selon la nature de l'affaire (arrêt du Tribunal fédéral 2C_1161/2013 précité consid. 5.5.1) ; qu'en l'espèce, les établissements publics sont actuellement fermés, mais pourraient rouvrir dans les semaines qui viennent, si bien qu'il se justifie de statuer sur effet suspensif ; que les parties acquiescent toutes au retrait de l'effet suspensif au recours, et que le dossier ne laisse pas apparaître qu'un tel retrait serait contraire au droit ; qu'au surplus, la cause est gardée à juger depuis le 5 mars 2021, et devrait pouvoir être jugée à relativement brève échéance ; qu'il se justifie ainsi de retirer l'effet suspensif au recours, en réservant le sort des frais de la procédure jusqu'à droit jugé au fond ; LA CHAMBRE ADMINISTRATIVE retire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Mes Bernard Nuzzo et Samir Djaziri, avocats des recourants, à la Ville de Genève ainsi qu'à Me Alexandre Ayad, avocat d'I______.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