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A/3553/2005 vom 29. November 2005</w:t>
      </w:r>
    </w:p>
    <w:p>
      <w:r>
        <w:t>GE Cour de justice, 2005-11-29, FR</w:t>
      </w:r>
    </w:p>
    <w:p>
      <w:r>
        <w:rPr>
          <w:b/>
        </w:rPr>
        <w:t xml:space="preserve">Quelle: </w:t>
      </w:r>
      <w:r>
        <w:t>https://mcp.opencaselaw.ch/entscheid/ge_gerichte_A_3553_2005</w:t>
      </w:r>
    </w:p>
    <w:p>
      <w:r>
        <w:t>FR: GE_GERICHTE A/3553/2005 du 29 novembre 2005</w:t>
      </w:r>
    </w:p>
    <w:p>
      <w:r>
        <w:t>IT: GE_GERICHTE A/3553/2005 del 29 novembre 2005</w:t>
      </w:r>
    </w:p>
    <w:p>
      <w:pPr>
        <w:pStyle w:val="Heading2"/>
      </w:pPr>
      <w:r>
        <w:t>Volltext</w:t>
      </w:r>
    </w:p>
    <w:p>
      <w:r>
        <w:t>Genève Cour de justice (Cour de droit public) Chambre des assurances sociales 29.11.2005 A/3553/2005</w:t>
      </w:r>
    </w:p>
    <w:p>
      <w:r>
        <w:t>A/3553/2005 ATAS/1031/2005 du 29.11.2005 ( CHOMAG ) , DEPENS RÉPUBLIQUE ET CANTON DE GENÈVE POUVOIR JUDICIAIRE A/3553/2005 ATAS/1031/205 ARRET DU TRIBUNAL CANTONAL DES ASSURANCES SOCIALES Chambre 2 du 29 novembre 2005 En la cause Monsieur B__________, recourant contre CAISSE CANTONALE GENEVOISE DE CHOMAGE, rue de Montbrillant 40;Case postale 2293, 1211 GENEVE 2 intimée Vu le recours ; Vu l’audience de ce jour ;Vu l’accord intervenu entre les parties, en ces termes: le représentante de la caisse s'est dite d'accord de ramener de 31 à 20 jours la sanction infligée au recourant, pour tenir compte du fait qu'il est sorti très rapidement du chômage et que l'activité proposée ne correspondait pas entièrement à sa formation. Le recourant a dit être d'accord avec cette proposition; Qu'il convient de l'entériner. *** PAR CES MOTIFS, LE TRIBUNAL CANTONAL DES ASSURANCES SOCIALES Statuant d’accord entre les parties (conformément à l’art. 56 W LOJ) Donne acte à la CAISSE CANTONALE GENEVOISE DE CHOMAGE de ce que la sanction infligée au recourant par décisions des 25 avril et 23 septembre 2005 est ramenée à 20 jours. L’y condamne en tant que de besoin. Donne acte à Monsieur B__________ de ce qu'il accepte cette proposition et n'a plus de prétentions à faire valoir dans le cadre de la présente procédure.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et au SECO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