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A/3552/2017 vom 8. Mai 2018</w:t>
      </w:r>
    </w:p>
    <w:p>
      <w:r>
        <w:t>GE Cour de justice, 2018-05-08, FR</w:t>
      </w:r>
    </w:p>
    <w:p>
      <w:r>
        <w:rPr>
          <w:b/>
        </w:rPr>
        <w:t xml:space="preserve">Quelle: </w:t>
      </w:r>
      <w:r>
        <w:t>https://mcp.opencaselaw.ch/entscheid/ge_gerichte_A_3552_2017</w:t>
      </w:r>
    </w:p>
    <w:p>
      <w:r>
        <w:t>FR: GE_GERICHTE A/3552/2017 du 8 mai 2018</w:t>
      </w:r>
    </w:p>
    <w:p>
      <w:r>
        <w:t>IT: GE_GERICHTE A/3552/2017 del 8 maggio 2018</w:t>
      </w:r>
    </w:p>
    <w:p>
      <w:pPr>
        <w:pStyle w:val="Heading2"/>
      </w:pPr>
      <w:r>
        <w:t>Regeste</w:t>
      </w:r>
    </w:p>
    <w:p>
      <w:r>
        <w:t>PLAN DIRECTEUR ; ZONE DE VILLAS ; ZONE DE DÉVELOPPEMENT ; ZONE RÉSERVÉE ; GARANTIE DE LA PROPRIÉTÉ ; INTÉRÊT PUBLIC ; PROPORTIONNALITÉ ; DROIT D'ÊTRE ENTENDU ; SÉCURITÉ DU DROIT ; LÉGALITÉ ; EFFET ANTICIPÉ ; INTERPRÉTATION(SENS GÉNÉRAL) | Tant que des parcelles ne font pas l'objet d'un plan localisé de quartier, celles-ci restent soumises aux normes régissant la zone de fond, soit en l'occurrence la zone villas. Absence de violation de la garantie de la propriété des recourants dès lors que le projet de zone réservée, reposant sur une base légale non contestée, relève d'un intérêt public résidant dans la nécessité de construire un nombre plus important de logements en cas de pénurie dans ce domaine, et est proportionné dans la mesure où il porte sur un périmètre déterminé pour une durée limitée dans le but de préserver le potentiel de densification et d'éviter ultérieurement des mesures éventuellement plus intrusives. La publication d'une carte sur le site internet du département, désignant les périmètres de la zone réservée, avant l'adoption formelle et définitive de ceux-ci dépasse les exigences du devoir d'information de la population. Une telle démarche impliquant un déploiement anticipé des effets de la mesure envisagée pour les propriétaires concernés, la durée de publication doit être déduite de celle de la zone réservée. Recours partiellement admis. | LaLAT.9.al1; LaLAT.12; LaLAT.19.al3; LaLAT.30; LGZD.2.al1; Cst.26.al1; LAT.27; RaLAT.10; LaLAT.13C; LAT.4; Cst.29.al2</w:t>
      </w:r>
    </w:p>
    <w:p>
      <w:pPr>
        <w:pStyle w:val="Heading2"/>
      </w:pPr>
      <w:r>
        <w:t>Erwägungen</w:t>
      </w:r>
    </w:p>
    <w:p>
      <w:r>
        <w:rPr>
          <w:b/>
        </w:rPr>
        <w:t>E. 2</w:t>
      </w:r>
    </w:p>
    <w:p>
      <w:r>
        <w:t>et 15 ad art. 27) ; elle permet notamment d'interdire temporairement toute construction (DFJP/OFAT, op. cit., n° 13 ad art. 27). Une telle mesure doit cependant, en vertu du droit fédéral, être limitée dans le temps (art. 27 al. 2 LAT). Elle ne doit pas servir à repousser indéfiniment la mise à l'enquête ou l'adoption de la nouvelle réglementation. La mesure ne peut trouver aucune justification si elle se prolonge pour toute autre raison que celle d'être au service de l'adoption de la nouvelle réglementation (Manuel BIANCHI, Réflexions autour des mesures provisionnelles à l'occasion de la révision d'un plan d'aménagement local, ZBl 1987 396, p. 407). La mesure doit être levée dès qu'elle n'est plus nécessaire (Alexander RUCH, Commentaire LAT, n° 56 ad art. 27 LAT ; Berhnard WALDMANN/Peter HÄNNI, Raumplanungsgesetz, Berne 2006, n° 16 ad art. 27 LAT ; arrêt du Tribunal fédéral 1P.365/2006 du 5 octobre 2006 consid. 3.1 et 3.4). L'art. 27 LAT est considéré comme une base légale suffisante et ne nécessite pas de dispositions cantonales d'exécution (DFJP/OFAT, op. cit., n° 7 et 12 ad art. 27). L'intérêt public attaché à la création d'une zone réservée implique une sérieuse volonté d'aménager et présuppose l'admissibilité du projet d'aménagement futur ; le principe de la proportionnalité exige quant à lui que la ZR ne soit pas plus vaste et ne dure pas plus longtemps que ne le requiert le but poursuivi (ATF 113 Ia 362 consid. 2a-c p. 365-367; 105 Ia 223 consid. 2d p. 228 s. ; arrêt du Tribunal fédéral 1P.365/2006 du 5 octobre 2006 consid. 3.1). c. En vertu de l'art. 10 RaLAT entré en vigueur le 16 juin 2015, lorsque la sauvegarde des buts et principes régissant l'aménagement du territoire l'exige, notamment lorsqu'une modification des normes d'une zone est envisagée en vue d'une meilleure utilisation de terrains à bâtir, le Conseil d'État peut, à titre provisoire et pour une durée de cinq ans, adopter un plan portant création d'une ZR au sens de l'art. 27 LAT (al. 1). À l'intérieur de celle-ci, rien ne doit être entrepris qui soit de nature à compromettre des objectifs d'urbanisme ou la réalisation d'équipements publics. À cet effet, le département peut refuser l'autorisation de construire sollicitée en vertu de l'art. 1 LCI (al. 2). La procédure, prévue à l'art. 20 al. 7 LaLAT, pour l'adoption, la modification ou l'abrogation des plans localisés agricoles est applicable par analogie, à l'exception de l'art. 5 al. 11 LExt. Si les circonstances le justifient, le Conseil d'État peut modifier ou abroger une ZR avant l'expiration du délai prévu à l'al. 1; la procédure est identique à celle prévue à l'al. 3 (al. 4). d. Selon l'art. 13C al. 1 LaLAT, adopté le 12 mai 2017 et entré en vigueur le 29 juillet 2017, lorsque la sauvegarde des buts et principes régissant l’aménagement du territoire l’exige, notamment lorsqu’une modification des limites de zones est envisagée, le Conseil d’État peut adopter, à titre provisoire et pour une durée de cinq ans au plus une ZR au sens de l’article 27 LAT (al. 1). e. Selon la doctrine et la jurisprudence, en droit de la construction, la loi applicable est celle en vigueur au moment où statue la dernière instance saisie du litige.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Ib 297 consid. 2b p. 299 ; ATA/653/2014 du 19 août 2014 ; ATA/56/2013 du 29 janvier 2013). En statuant sur une demande d’autorisation suivant des prescriptions devenues obligatoires après son dépôt, le juge ne tombe pas dans l’arbitraire, ni ne viole une disposition impérative ou la garantie de la propriété (ATF 107 Ib 133 consid. 3 p. 138 ; ATA/653/2014 ). f. Dans un arrêt récent du 13 juin 2017 ( ATA/659/2017 consid. 6) examinant le bien-fondé du refus de délivrance d'une autorisation de construire en zone villas en raison de l'incompatibilité de ce projet avec l'objectif de densification de la cinquième zone concernée par une modification de zone, la chambre de céans a retenu, en regard de l'art. 10 RaLAT, que la condition de l'intérêt public était donnée dans la mesure où il s'agissait de permettre la construction d'un nombre plus important de logements, conformément au PDCn 2030. Il en allait de même de la condition de la proportionnalité, étant donné qu'il s'agissait d'éviter que la future densification par modification de zone prévue par le PDCn 2030 ne soit mise en péril. L'intérêt public d'une densification par modification de zone primait sur l'intérêt privé de la recourante de densifier sa parcelle au sens de la dérogation prévue par l'art. 59 al. 4 let. a LCI, dans le contexte genevois qui connaissait une pénurie de logements. g. En l'occurrence, les recourants ne font, à juste titre, pas valoir que l'existence d'une base légale ferait défaut. En effet, tel que rappelé ci-dessus, en matière de ZR, des dispositions cantonales d'exécution de l'art. 27 LAT ne sont pas nécessaires. Au demeurant, celles-ci existent désormais – à tout le moins – depuis l'entrée en vigueur de l'art. 13C LaLAT. Il en va de même de la compétence du Conseil d'État pour instaurer de telles mesures provisionnelles. Le renvoi du rapport du Conseil d'État le 29 janvier 2016 à la commission d'aménagement du canton n'apporte en l'état aucun changement à ces bases légales. Concernant l'exigence d'un intérêt public, il a déjà été retenu de jurisprudence récente que la nécessité de construire un nombre plus important de logements en cas de pénurie dans ce domaine, y satisfait. À cela s'ajoute que l'obligation de densification des autorités genevoises résulte du PDCn 2030 qu'elles ont adopté et qui a été approuvé par le Conseil fédéral. Ce document fondateur illustre leur réelle intention de procéder aux aménagements nécessaires, induits par le manque d'habitations préoccupant. À cet égard, il sied de rappeler que l'adoption d'un plan d'utilisation du sol ne constitue pas un prérequis à l'instauration d'une ZR. S'agissant de l'utilisation du refus conservatoire, hypothèse initialement proposée par le Conseil d'État par l'intermédiaire du PL 11411, celle-ci a été expressément écartée par le législateur en raison de l'absence de circonscription du périmètre sur lequel cette mesure provisionnelle aurait porté. Faute d'une possible délimitation précise, elle aurait été applicable sur tout le territoire du canton. Ainsi, en tant qu'elle vise une superficie aux contours définis, la ZR a été choisie par les deux pouvoirs comme étant la mesure provisionnelle la plus adaptée à la mise en œuvre du PDCn 2030. En outre, le 23 mars 2016, le Conseil d'État a mis à jour la carte intitulée « programme de densification du quartier de villas » en indiquant une réduction du nombre et de la surface des périmètres destinés à passer en ZR. Si ce type de revirement peut, de prime abord, permettre de douter de la précision du travail effectué en amont, il démontre néanmoins, de manière subséquente, une certaine prise en considération des divers enjeux et intérêts en présence, ainsi qu'une approche tendant à une rationalisation. Finalement, le préavis de la commune revêtant un caractère consultatif, il n'appartient pas à la chambre de céans de revoir l'opportunité de la décision du Conseil d'État ou du département. Si les inconvénients de cette situation, subis par les propriétaires des parcelles touchées, sont à l'évidence non-négligeables, ceux-ci ne permettent cependant pas de s'écarter de l'intérêt public de la population entière à pouvoir se loger convenablement. En tant que la ZR concerne un périmètre déterminé pour une durée limitée dans le but de préserver le potentiel de densification et d'éviter des mesures éventuellement plus intrusives, elle apparaît également conforme au principe de la proportionnalité. Ces considérations n'impliquent cependant pas que l'instauration des ZR préjuge de l'adoption des mesures de déclassement envisagées. Il résulte de ce qui précède que le Conseil d'État pouvait valablement rejeter l'opposition des recourants quant à l'instauration de la ZR n° 30027-544, intégrant les parcelles de certains d'entre eux. 9) Subsidiairement, les recourants considèrent que la durée effective de la mesure, soit la ZR n° 30027-544, dépasserait celle autorisée par le droit fédéral, à savoir cinq ans, puisqu'elle aurait commencé à courir dès la publication de la carte au mois de juillet 2015 sur le site internet du département. ![endif]&gt;![if&gt; 10) a. À teneur de l'art. 13C al. 2 LaLAT, la durée de cinq ans visée à l’art. 13C al. 1 LaLAT commence à courir dès l’adoption de la ZR sur le périmètre concerné. Lorsqu’il a été préalablement fait application de l’art. 13B LaLAT, elle est, pour la parcelle concernée, réduite de celle correspondant aux effets de cette mesure. Cette durée ne peut, au surplus, être matériellement prolongée par toute autre mesure conservatoire. L'art. 13C al. 3 LaLAT précise encore que seule la publication dans la FAO de la décision d’adoption de la ZR permet de la porter à la connaissance du public par le biais d’une carte ou de tout autre moyen de publicité.![endif]&gt;![if&gt; À cet égard, il était prévu que le département supprime sans délai toute carte identifiant des ZR si celles-ci n’ont pas été adoptées selon la procédure visée à l’article 13C al. 4 LaLAT (art. 36 al. 5 LaLAT). Selon les travaux préparatoires relatifs au PL 12023 ayant proposé l'adoption de l'art. 13C LaLAT, celle-ci tendait notamment à assurer une base légale cantonale formelle à l'art. 10 RaLAT, soit l'instauration des ZR (PL 12023-A p. 1). En outre, il avait été relevé que la procédure suivie par le Conseil d'État, consistant notamment à publier sur le site internet du département une carte des ZR envisagées comportant onze périmètres en juin 2015 sans que ceux-ci ne fassent pourtant l'objet d'arrêtés d'adoption de ZR, était problématique. Cette publication avait eu un effet immédiat pour les propriétaires touchés qui dès lors, avaient vu l'estimation de leur parcelle être particulièrement précaire, voire dévaluée (PL 12023-A p. 2). À cette occasion, les représentants du DALE avaient confirmé leur intention de ne pas cumuler les ZR et d'autres mesures conservatoires telles que le refus conservatoire (PL 12023-A p. 5). Lors des débats devant le Grand Conseil, les aspects précités ont été rappelés. Il a également été souligné que le but de cette disposition était de « régler l'avenir, en prévoyant que le délai de départ des cinq ans de la ZR commen[çait] au moment où un arrêté du Conseil d'État entr[ait] en vigueur, il vis[ait] également à empêcher que toute autre mesure provisionnelle du même type puisse s'appliquer avant ou après la mesure de ZR et donc puisse augmenter ce délai de cinq ans qui, au regard de la jurisprudence fédérale, [était] un délai maximal ». La commission d'aménagement du canton, en charge du traitement du PL 12023 avait « étudié la question de l'impact sur les valeurs immobilières, sans préjuger aucunement des questions juridiques ouvertes, soit la possibilité pour les propriétaires visés de tenter de faire valoir leurs droits pour indiquer que le délai [avait] commencé à courir en juin 2015, ou l'éventualité pour ces mêmes propriétaires d'actionner l'État en responsabilité s'ils considér[aient] que la publication anticipée de la carte leur [avait] causé un dommage. [Elle avait] auditionné des experts immobiliers qui [leur avaient] indiqué que la décote sur ces parcelles touchées par les ZR serait de 10 % à 15 % environ, décote qui s'ajout[ait] à une décote originelle […] due à leur inscription au plan directeur cantonal en vue d'un déclassement. [C'était] donc une double peine qui touch[ait] ces propriétaires puisqu'ils subiss[aient] une première décote parce qu'ils [étaient] visés par des déclassements, et une deuxième par cette mesure de ZR ». Pour le conseiller d'État en charge du DALE, la ZR permettait « d'informer les propriétaires de ce qui [allait] se produire. Dans ce cadre, elle [devait] être bien régulée, être d'une durée maximale de cinq ans, y compris le temps des refus conservatoires ». La ZR repositionnait également le marché immobilier selon les inscriptions au Registre foncier montrant que les propriétaires de villas en ZR avaient pu vendre leur bien essentiellement à des promoteurs-développeurs (MGC [En ligne], séance du 12 mai 2017 à 14h, disponible sur http://ge.ch/grandconseil/memorial/seances/010403/14/23/#1563983). b. L'art. 4 LAT se distingue de l'art. 29 al. 2 Cst., dès lors que les deux dispositions poursuivent des buts différents (ATF 135 II 286 consid. 4 p. 290). En vertu de l'art. 4 LAT, les autorités chargées de l'aménagement du territoire renseignent la population sur les plans dont la loi prévoit l'établissement, sur les objectifs qu'ils visent et sur le déroulement de la procédure (al. 1) ; ils veillent à ce que la population puisse participer de manière adéquate à l'établissement des plans (al. 2) ; les plans prévus par la LAT peuvent être consultés (al. 3). Le droit fédéral ne définit pas l'étendue de l'information et de la participation prévues à l'art. 4 LAT. Si l'organisation de séances d'information constitue un moyen efficace de mettre en œuvre cette disposition, il ne s'agit pas d'une obligation légale (DFJP/OFAT, op.cit., n° 7 ad art. 4). L'art. 4 al. 1 LAT implique ainsi que la collectivité publique fournisse à la population l'information qui lui est nécessaire pour se forger valablement une opinion (DFJP/OFAT, op.cit., n° 12 ad art. 4). Il est par exemple envisageable que la mise en consultation d'un dossier suffise à satisfaire aux exigences du droit d'information et de participation prévu par la législation fédérale. Les autorités compétentes disposent ainsi d'un large pouvoir d'appréciation dans l'application de l'art. 4 LAT (ATF 133 II 120 consid. 3.2 p. 124 et les références). La participation des administrés doit intervenir dès la genèse de la planification, c'est-à-dire à un stade où celle-ci n'a pas encore de portée irréversible. Il s'agit non seulement d'asseoir la légitimité démocratique des outils de planification, mais aussi d'éviter autant que possible les diverses oppositions. En principe, toutes les personnes touchées sur le territoire concerné par la mesure d'aménagement doivent être informées, soit par le biais de séances d'information, voire par voie de publication officielle, soit par l'intermédiaire des médias. Toute personne peut par ailleurs demander des renseignements à titre individuel sans avoir à justifier d'un intérêt particulier. Le droit de participation prévu à l'art. 4 al. 2 LAT tend à éviter que les projets soient élaborés à huis-clos ou que la population soit mise devant le fait accompli. Celle-ci doit disposer d'un moyen réel d'intervenir effectivement dans le processus, en exerçant une véritable influence sur le résultat à atteindre (DFJP/OFAT, op.cit., n° 3 ad art. 4 ; Peter HÄNNI, Planungs-, Bau- und besonderes Umweltschutzrecht, Berne 2016, p. 140). L'art. 4 al. 1 et 2 LAT donne ainsi un mandat législatif aux cantons, à qui il appartient de déterminer le type d'information et les autorités compétentes (ATF 135 II 286 consid. 4.1 p. 290 ; arrêt du Tribunal fédéral 1C_266/2016 du 14 juin 2017 consid. 2.1). c. Conformément aux principes de la sécurité du droit et de la légalité, lorsque le droit cantonal prévoit l'effet anticipé négatif d'une norme non encore approuvée, et empêche ainsi la construction d'un ouvrage supposé conforme au droit en vigueur, il est nécessaire que cette mesure soit limitée dans le temps (Manuel BIANCHI, La révision du plan d'affectation communal, thèse Lausanne 1990, p. 187). Cette limitation découle de la nature juridique de l'effet anticipé, qui équivaut à une suspension de la procédure ou à un blocage temporaire, en d'autres termes à des mesures provisionnelles (arrêt du Tribunal fédéral 1C_694/2013 du 31 janvier 2014 consid. 2.2 et les références citées). Par ailleurs, l'effet anticipé positif, soit l'application du droit futur, qui n'est pas encore en vigueur, en lieu et place du droit actuel, n'est pas admissible, même s'il est prévu dans une loi. L'art. 27 LAT ne permet pas non plus que des projets soient jugés exclusivement selon les intentions de planifications, c'est-à-dire selon le droit futur (Alexander RUCH, Commentaire pratique LAT : Planifier l'affectation, 2016, n° 55 ad art. 27 LAT et les références citées). d. 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De tels motifs peuvent découler des travaux préparatoires, du but et du sens de la disposition, ainsi que de la systématique de la loi (ATF 135 II 78 consid. 2.2).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 arrêts du Tribunal fédéral 2C_839/2015 du 26 mai 2016 consid. 3.4.1 ; 1C_584/2015 du 1 er mars 2016 consid. 4.1). e. En l'espèce, le département a effectivement publié sur son site internet en date du 14 juillet 2015 une carte intitulée « programme de densification des quartiers de villas », désignant notamment les périmètres de ladite zone sur lesquels seraient instaurées des ZR. En procédant de la sorte, le département, soit pour lui, le Conseil d'État, ne conteste pas avoir porté à la connaissance de tous des intentions de mesures d'aménagement territoire qui n'avaient pourtant pas encore été formellement adoptées. Les principaux intéressés, les propriétaires des parcelles concernées, n'en avaient d'ailleurs même pas encore été informés, puisque ce n'est que par courrier du 29 mars 2016 qu'ils l'ont été. À cela s'ajoute que, dès l'instant où le Grand Conseil a examiné cette démarche lors de sa séance du 29 janvier 2016, il s'y est opposé, renvoyant le rapport du Conseil d'État M 2278-A à la commission d'aménagement du canton pour étude. Nonobstant cette prise de position, le DALE a maintenu la publication de ladite carte sur son site internet, se contentant de l'actualiser le 23 mars 2016 en réduisant la portée des ZR. Dans ce contexte, le Conseil d'État ne saurait faire valoir qu'il s'agissait uniquement pour le département de satisfaire à un devoir d'information de la population au sujet du PDCn 2030 au sens de l'art. 4 LAT, alors qu'il ne pouvait raisonnablement en ignorer les répercussions, que les renseignements fournis dépassaient largement le contenu stricto sensu du PDCn 2030 et que la mise à l'enquête publique n'avait même pas encore eu lieu. En adoptant l'art. 13C LaLAT, le législateur a d'ailleurs clairement mentionné sa volonté de circonscrire l'application des ZR, notamment au niveau temporel, en précisant que toute appréciation ou voie d'action en rapport avec les conséquences de la publication de la carte susmentionnée au mois de juillet 2015 étaient réservées. En effet, il était alors relevé que, selon les auditions menées par les députés dans le cadre de l'étude du PL 12023, une décote supplémentaire de l'ordre de 10% à 15% des valeurs immobilières en résultait et s'ajoutait à une décote initiale équivalente due à l'inscription desdites parcelles au PDCn 2030. Qu'un repositionnement du marché de l'immobilier ait pu être constaté par le département du fait de ces mesures, apparaît ainsi incontestable. Il ne permet toutefois pas d'occulter les conséquences financières de celles-ci pour les propriétaires visés. Autrement dit, bien qu'elles n'eussent pas encore été régulièrement adoptées au mois de juillet 2015, les ZR ont commencé à déployer leurs effets dès cette date. En ces circonstances, le retrait de la carte en cause a été prévu par le législateur à l'art. 36 al. 5 LaLAT disposant que le département supprime sans délai toute carte identifiant des ZR si celles-ci n’ont pas été adoptées selon la procédure visée à l’art. 13C al. 4 LaLAT. Au vu de ce qui précède et de la prohibition du cumul des mesures provisoires prévue à l'art. 13C al. 2 LaLAT, il faut retenir que la durée durant laquelle la carte intitulée « programme de densification des quartiers de villas » a été publiée sur le site internet du département doit être déduite de celle autorisée pour l'instauration d'une ZR. Ladite carte ayant été publiée du 14 juillet 2015 jusqu'au, vraisemblablement, 29 juillet 2017, date de l'entrée en vigueur des art. 13C et 36 al. 5 LaLAT, une période équivalente devra être imputée du délai de cinq ans prévu par les art. 27 al. 2 LAT et 13C al. 1 LaLAT. 11) À titre principal, le recours sera rejeté s’agissant de l'instauration de la ZR n° 30027-544 et de la compétence du Conseil d'État pour y procéder. Il sera partiellement admis sur la question de la durée effective de la mesure provisionnelle en cause, considérant la publication du 14 juillet 2015 de la carte intitulée « programme de densification des quartiers de villas » sur le site internet du DALE. ![endif]&gt;![if&gt; 12) Vu l’issue du litige et dans la mesure où les recourants succombent sur l'essentiel de leur recours, il ne sera pas perçu d'émolument ni alloué d'indemnité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