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A/3550/2021 vom 9. Februar 2022</w:t>
      </w:r>
    </w:p>
    <w:p>
      <w:r>
        <w:t>GE Cour de justice, 2022-02-09, FR</w:t>
      </w:r>
    </w:p>
    <w:p>
      <w:r>
        <w:rPr>
          <w:b/>
        </w:rPr>
        <w:t xml:space="preserve">Quelle: </w:t>
      </w:r>
      <w:r>
        <w:t>https://mcp.opencaselaw.ch/entscheid/ge_gerichte_A_3550_2021</w:t>
      </w:r>
    </w:p>
    <w:p>
      <w:r>
        <w:t>FR: GE_GERICHTE A/3550/2021 du 9 février 2022</w:t>
      </w:r>
    </w:p>
    <w:p>
      <w:r>
        <w:t>IT: GE_GERICHTE A/3550/2021 del 9 febbraio 2022</w:t>
      </w:r>
    </w:p>
    <w:p>
      <w:pPr>
        <w:pStyle w:val="Heading2"/>
      </w:pPr>
      <w:r>
        <w:t>Erwägungen</w:t>
      </w:r>
    </w:p>
    <w:p>
      <w:r>
        <w:rPr>
          <w:b/>
        </w:rPr>
        <w:t>E. 6</w:t>
      </w:r>
    </w:p>
    <w:p>
      <w:r>
        <w:t>Partant, la requête de restitution de l’effet suspensif au recours ne peut qu’être rejetée. Le fond est réservé. Pour le surplus, la procédure est gratuite. PAR CES MOTIFS, LA CHAMBRE DES ASSURANCES SOCIALES : Statuant 1.        Rejette la requête en restitution de l’effet suspensif au recours. 2.        Réserve le fond. 3.        Dit que la procédure est gratuite. La greffière Adriana MALANGA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