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A/3540/2022 vom 25. April 2024</w:t>
      </w:r>
    </w:p>
    <w:p>
      <w:r>
        <w:t>GE Cour de justice, 2024-04-25, FR</w:t>
      </w:r>
    </w:p>
    <w:p>
      <w:r>
        <w:rPr>
          <w:b/>
        </w:rPr>
        <w:t xml:space="preserve">Quelle: </w:t>
      </w:r>
      <w:r>
        <w:t>https://mcp.opencaselaw.ch/entscheid/ge_gerichte_A_3540_2022</w:t>
      </w:r>
    </w:p>
    <w:p>
      <w:r>
        <w:t>FR: GE_GERICHTE A/3540/2022 du 25 avril 2024</w:t>
      </w:r>
    </w:p>
    <w:p>
      <w:r>
        <w:t>IT: GE_GERICHTE A/3540/2022 del 25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a été déposé dans les forme et délai prévus par la loi (art. 56ss LPGA).</w:t>
      </w:r>
    </w:p>
    <w:p>
      <w:r>
        <w:rPr>
          <w:b/>
        </w:rPr>
        <w:t>E. 3.1</w:t>
      </w:r>
    </w:p>
    <w:p>
      <w:r>
        <w:t>Le recourant a pris des conclusions portant tant sur le droit à la rente au-delà du 31 mars 2022 que sur le remboursement direct à l’assureur-accidents d’une partie des rentes d’invalidité allouées rétroactivement, contestant partiellement le droit de celui-ci à la compensation. L’objet du litige porte ainsi sur ces deux aspects.</w:t>
      </w:r>
    </w:p>
    <w:p>
      <w:r>
        <w:rPr>
          <w:b/>
        </w:rPr>
        <w:t>E. 3.2</w:t>
      </w:r>
    </w:p>
    <w:p>
      <w:r>
        <w:t>Selon la jurisprudence,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Le Tribunal fédéral admet ainsi que le juge n’a pas à statuer sur l’étendue de la compensation dans le cadre de la procédure concernant l’assurance-invalidité Cependant, le principe de la compensation peut être contesté dans le cadre de la procédure de l’assurance-invalidité si l’intéressé conteste que les conditions de l’art. 85 bis du règlement du 17 janvier 1961 sur l’assurance-invalidité du 17 janvier 1961 (RAI - RS 831.201) liées au paiement direct sont remplies (arrêt du Tribunal fédéral 9C_232/2016 du 1 er septembre 2016 consid. 5.2). En l’espèce, si le recourant prend des conclusions portant sur l’étendue de la compensation, puisqu’il en conteste la quotité, il invoque précisément dans ce cadre que les conditions réglementaires prévues pour un versement direct ne sont pas réalisées. Partant, ce point peut être tranché dans la présente procédure, étant souligné que l’assureur-accidents a été appelé en cause et a pu exercer son droit d’être entendu.</w:t>
      </w:r>
    </w:p>
    <w:p>
      <w:r>
        <w:rPr>
          <w:b/>
        </w:rPr>
        <w:t>E. 3.3</w:t>
      </w:r>
    </w:p>
    <w:p>
      <w:r>
        <w:t>Le recours est ainsi recevable.</w:t>
      </w:r>
    </w:p>
    <w:p>
      <w:r>
        <w:rPr>
          <w:b/>
        </w:rPr>
        <w:t>E. 4</w:t>
      </w:r>
    </w:p>
    <w:p>
      <w:r>
        <w:t>En ce qui concerne en premier lieu la compensation sollicitée par l’assureur-accidents appelé en cause, il convient de rappeler ce qui suit.</w:t>
      </w:r>
    </w:p>
    <w:p>
      <w:r>
        <w:rPr>
          <w:b/>
        </w:rPr>
        <w:t>E. 4.1</w:t>
      </w:r>
    </w:p>
    <w:p>
      <w:r>
        <w:t>Selon l'art. 22 LPGA,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(al. 2).  En pratique, la règle de l’art. 22 al. 2 let. b LPGA concerne principalement les assurances privées d’indemnités journalières et, dans une moindre mesure, l’assurance en responsabilité civile (Sylvie PETREMAND in Commentaire romand, Loi sur la partie générale des assurances sociales, 2018, n. 36 ad art. 22 LPGA).</w:t>
      </w:r>
    </w:p>
    <w:p>
      <w:r>
        <w:rPr>
          <w:b/>
        </w:rPr>
        <w:t>E. 4.2</w:t>
      </w:r>
    </w:p>
    <w:p>
      <w:r>
        <w:t>L’art. 85 bis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fédérale sur l’assurance-vieillesse et survivants du 20 décembre 1946 (LAVS - RS 831.10). Les organismes ayant consenti une avance doivent faire valoir leurs droits au moyen d’un formulaire spécial, au plus tôt lors de la demande de rente et, au plus tard au moment de la décision de l’OAI (al. 1).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(al. 2). Les arrérages de rente peuvent être versés à l’organisme ayant consenti une avance jusqu’à concurrence, au plus, du montant de celle-ci et pour la période à laquelle se rapportent les rentes (al. 3). L'utilisation du formulaire spécial prévu à l'art. 85 bis al. 1 RAI est une prescription d'ordre. Ainsi, le tiers qui veut obtenir directement un paiement de prestations rétroactives de l'AI peut établir l'accord du bénéficiaire de celles-ci par un autre moyen que ce formulaire (ATF 136 V 381 consid. 5.2). Les avances librement consenties selon l'art. 85 bis al. 2 let. a RAI supposent le consentement écrit de la personne intéressée pour que le créancier puisse en exiger le remboursement. Dans l'éventualité de l'art. 85 bis al. 2 let. b RAI, le consentement n'est pas nécessaire ; il est remplacé par l'exigence d'un droit au remboursement « sans équivoque ». Pour que l'on puisse parler d'un droit non équivoque au remboursement à l'égard de l'assurance-invalidité, il faut que le droit direct au remboursement découle expressément d'une disposition légale ou contractuelle (ATF 133 V 14 consid. 8.3). La jurisprudence admet que le consentement écrit de l'assuré pour le versement direct en mains d'un tiers ayant versé des avances peut suffire lorsque les conditions générales d'assurance prévoient un devoir de remboursement de l'assuré (arrêt du Tribunal fédéral 8C_215/2019 du 24 octobre 2019 consid. 3.2 et les références citées). Selon les directives concernant les rentes de l’assurance vieillesse, survivants et invalidité fédérale (DR) éditées par l’OFAS, une clause de surassurance découlant d’un contrat ou de la loi ne suffit pas à fonder un droit sans équivoque au remboursement (ch. 10066).</w:t>
      </w:r>
    </w:p>
    <w:p>
      <w:r>
        <w:rPr>
          <w:b/>
        </w:rPr>
        <w:t>E. 4.2.1</w:t>
      </w:r>
    </w:p>
    <w:p>
      <w:r>
        <w:t>En ce qui concerne la compensation des indemnités versées en vertu de la police d’assurance complémentaire en cas d’accident, la Cour de céans relève ce qui suit. L’art. 10 let. d des CGA portant sur la couverture collective contre les accidents complémentaire à la LAA de l’appelé en cause est relatif aux prestations de tiers. Il prévoit que, dans la mesure où l'assuré a également droit à des prestations de l'assurance invalidité fédérale ou de toute autre assurance sociale, l’appelé en cause complète ces prestations jusqu'à concurrence de la perte de gain effective de l'assuré. Il paie au maximum l'indemnité journalière convenue. Dès la survenance du sinistre, l’appelé en cause est subrogé, jusqu'à concurrence des prestations convenues, aux droits de l'assuré et de ses survivants contre tout tiers responsable. Lorsque l'indemnité journalière est garantie par plusieurs assurances conclues auprès d'assureurs agréés, la perte de salaire totale est indemnisée une fois seulement. L’appelé en cause n'intervient que dans la proportion existant entre les prestations assurées par lui et le montant total des prestations garanties par tous les assureurs. La Cour de céans a déjà examiné la portée de cette clause, retenant que si elle vise à éviter une surindemnisation, elle ne prévoit en revanche pas expressément la possibilité pour l'appelé en cause de s'adresser directement aux organes de l'assurance-invalidité et d'exiger le versement de l'arriéré de la rente d'invalidité en compensation de sa créance ( ATAS/923/2022 du 17 octobre 2022 consid. 18.3.4.2). Il n’y a pas de motif de revenir sur cette analyse. Il n’existe pour le surplus aucun accord écrit du recourant au remboursement direct en faveur de l’appelé en cause, celui-ci ayant indiqué par courriel du 21 septembre 2022 à la caisse qu’il n’avait pas requis une « procuration » du recourant pour le remboursement, puisque ce dernier pouvait s’opposer à sa « décision » du 15 septembre précédent. Partant, la décision attaquée doit être annulée en tant qu’elle admet la demande de compensation de l’appelé en cause portant sur les prestations versées au recourant en qualité d'assurance-complémentaire à l'assurance-accidents.</w:t>
      </w:r>
    </w:p>
    <w:p>
      <w:r>
        <w:rPr>
          <w:b/>
        </w:rPr>
        <w:t>E. 4.2.2</w:t>
      </w:r>
    </w:p>
    <w:p>
      <w:r>
        <w:t>En ce qui concerne les indemnités journalières versées en application de la LAA, l’art. 22 LPGA ne confère pas un droit au versement direct à l’appelé en cause. On rappellera que l’art. 70 LPGA règlemente la prise en charge provisoire des cas. Il dispose à son al. 2 let. c que l’assurance-accidents est tenue de prendre en charge provisoirement le cas, pour les prestations dont la prise en charge par l’assurance-accidents ou l’assurance militaire est contestée. Aux termes de l’art. 71 LPGA,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Une cession au sens de l’art. 22 al. 2 let. b LPGA n’est pas nécessaire dans les situations visées à l’art. 70 LPGA. Lorsque des prestations d’assurances sociales sont accordées, par exemple des indemnités journalières de la LAA, et que d’autres prestations sont ultérieurement octroyées avec un effet rétroactif, par exemple une rente de l’assurance-invalidité, un problème de surindemnisation peut survenir. Dans un tel cas, si le premier assureur intervenu, soit l’assureur-accidents, a versé des prestations qui se révèlent par la suite excéder la limite de surindemnisation de l’art. 69 LPGA, il a un intérêt à recevoir un paiement rétroactif. Un tel cas ne tombe toutefois pas sous le coup de l’art. 70 LPGA. Si le caractère d’avance ou de prise en charge provisoire fait défaut ou qu’un droit au remboursement ne peut pas être déduit sans équivoque du contrat ou de la loi, une cession selon l’art. 22 al. 2 LPGA n’est pas possible (PETREMAND, op. cit. , n. 33-34 ad art. 22 LPGA). Ainsi, à défaut de caractère d’avance ou de prestations provisoires – étant rappelé que tel n’est pas le cas des indemnités journalières de la LAA, qui se cumulent avec les rentes de l’assurance-invalidité sous réserve de surindemnisation (cf. art. 68 LPGA) – une exception à l’interdiction de la cession au sens de l’art. 22 al. 2 LPGA ne peut être admise. Un paiement à un tiers fondé uniquement sur la règlementation liée à l’interdiction de la surindemnisation de l’art. 69 LPGA ne peut être opéré. Lorsqu’un assureur demande la compensation, il doit le faire par décision adressée tant à l’assuré qu’à l’organisme appelé à opérer la compensation (Ueli KIESER, ATSG-Kommentar, 4 ème éd. 2020, nn. 64, 66 et 79-80-81 et 88 ad art. 22 LPGA). Or, en l’espèce, le courrier du 15 septembre 2022 de l’appelé en cause n’est pas une décision. Il n’en présente à tout le moins pas les caractéristiques formelles (cf. art. 49 LPGA).</w:t>
      </w:r>
    </w:p>
    <w:p>
      <w:r>
        <w:rPr>
          <w:b/>
        </w:rPr>
        <w:t>E. 4.3</w:t>
      </w:r>
    </w:p>
    <w:p>
      <w:r>
        <w:t>Malgré ce qui précède, le recourant semble admettre partiellement le remboursement direct à l’appelé en cause des indemnités journalières LAA, en tant que les rentes portent sur la même période et que la limite de surindemnisation est atteinte. On notera à ce sujet que, contrairement à ce que le recourant semble affirmer, une concordance temporelle entre les prestations à compenser n’est pas exigée (ATF 140 V 233 consid. 3.2). En cas de cumul des indemnités journalières fondées sur la LAA et de rentes de l’assurance-invalidité, un calcul sur l’ensemble de la période d’octroi des indemnités journalières doit se faire (calcul global) (ATF 132 V 27 consid. 3.1, arrêt du Tribunal fédéral 8C_412/2016 du 6 octobre 2016 consid. 2). Ni la caisse ni l’appelé en cause n’ont formellement procédé à ce calcul global, Les pièces versées au dossier de l’intimé ne suffisent en outre pas à établir le montant réclamé au titre d’indemnités journalières de l’assurance complémentaire. L’appelé en cause n’a fourni aucune pièce permettant de distinguer cette créance de celle correspondant aux indemnités journalières de l’assurance obligatoire. Il n’appartient pas à la Cour de céans de pallier ces lacunes. Partant, la décision doit être annulée en tant qu’elle prévoit un versement direct à l’appelé en cause, et la cause renvoyée à l’intimé pour nouvelle décision sur ce point au sens des considérants qui précèdent.</w:t>
      </w:r>
    </w:p>
    <w:p>
      <w:r>
        <w:rPr>
          <w:b/>
        </w:rPr>
        <w:t>E. 5</w:t>
      </w:r>
    </w:p>
    <w:p>
      <w:r>
        <w:t>Sur le fond, il convient en préambule de rappeler ce qui suit au sujet du droit applicable.</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Le droit ne prend pas naissance tant que l’assuré peut faire valoir son droit à une indemnité journalière au sens de l’art. 22 (al. 2).</w:t>
      </w:r>
    </w:p>
    <w:p>
      <w:r>
        <w:rPr>
          <w:b/>
        </w:rPr>
        <w:t>E. 5.2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dispose les quotités de la rente pour les taux d’invalidité inférieurs à 50%.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5.3</w:t>
      </w:r>
    </w:p>
    <w:p>
      <w:r>
        <w:t>Selon la jurisprudence, lorsque la décision dont est recours a été rendue après le 1 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5.4</w:t>
      </w:r>
    </w:p>
    <w:p>
      <w:r>
        <w:t>En l’espèce, le droit à la rente est né en août 2018. Partant, l’ancien droit reste applicable, sous réserve d’une modification du degré d’invalidité de cinq points de pourcentage au moins après le 1 er janvier 2022 (cf. arrêt du Tribunal fédéral 8C_55/2023 du 11 juillet 2023 consid. 2.2), dont la Cour de céans examinera ci-après si elle est survenue.</w:t>
      </w:r>
    </w:p>
    <w:p>
      <w:r>
        <w:rPr>
          <w:b/>
        </w:rPr>
        <w:t>E. 6</w:t>
      </w:r>
    </w:p>
    <w:p>
      <w:r>
        <w:t>Le CRPS est une pathologie neurologique, orthopédique et traumatologique et relève d’un trouble organique (arrêt du Tribunal fédéral 8C_232/2012 du 27 septembre 2012 consid. 5.3.1).</w:t>
      </w:r>
    </w:p>
    <w:p>
      <w:r>
        <w:rPr>
          <w:b/>
        </w:rPr>
        <w:t>E. 6.1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 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7</w:t>
      </w:r>
    </w:p>
    <w:p>
      <w:r>
        <w:t>En 2015,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y a désormais lieu de se fonder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parmi lesquels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8.4</w:t>
      </w:r>
    </w:p>
    <w:p>
      <w:r>
        <w:t>On précisera encore que l’avis du SMR a pour fonction d'opérer la synthèse des renseignements médicaux recueillis, de prendre position à leur sujet et de formuler des recommandations sur la suite à donner au dossier sur le plan médical (arrêt du Tribunal fédéral 9C_10/2017 du 27 mars 2017 consid. 5.1). Les rapports des SMR ne peuvent donc que se prononcer sur la question de savoir quelle appréciation doit être suivie (ATF 142 V 58 consid. 5.1).</w:t>
      </w:r>
    </w:p>
    <w:p>
      <w:r>
        <w:rPr>
          <w:b/>
        </w:rPr>
        <w:t>E. 9</w:t>
      </w:r>
    </w:p>
    <w:p>
      <w:r>
        <w:t>Il convient d’examiner si les expertises versées au dossier peuvent se voir reconnaître valeur probante.</w:t>
      </w:r>
    </w:p>
    <w:p>
      <w:r>
        <w:rPr>
          <w:b/>
        </w:rPr>
        <w:t>E. 9.1</w:t>
      </w:r>
    </w:p>
    <w:p>
      <w:r>
        <w:t>S’agissant du rapport du Dr F______, on note en premier lieu qu’il ne contient aucun diagnostic, ni d’ailleurs de conclusions expresses quant à la capacité de travail, bien que ce médecin paraisse implicitement l’exclure à la date de son examen en raison de la non stabilisation de l’état de santé. Ce rapport ne satisfait ainsi pas aux exigences dégagées par la jurisprudence. Par ailleurs, on s’étonne que ce médecin ne se soit pas prononcé sur l’algoneurodystrophie, tout en concluant à une amplification des symptômes, en référence notamment à une crise algique lors de son examen, dont il a décrit les manifestations. Or, celles-ci correspondent aux plaintes du recourant et le Dr F______ dit avoir constaté des sudations. Il paraît difficilement concevable qu’un tel phénomène physiologique puisse être volontairement induit par le recourant, si bien que la notion d’amplification des symptômes peine à convaincre. Partant, le rapport du Dr F______ n’est guère probant.</w:t>
      </w:r>
    </w:p>
    <w:p>
      <w:r>
        <w:rPr>
          <w:b/>
        </w:rPr>
        <w:t>E. 9.2</w:t>
      </w:r>
    </w:p>
    <w:p>
      <w:r>
        <w:t>En ce qui concerne l’examen du Dr H______, on relève en premier lieu que celui-ci indique que le recourant aurait mimé un trouble de l’équilibre. Le fait qu’il retienne une simulation, sans aucune explication sur les éléments lui permettant d’exclure la réalité d’un tel trouble, suscite certains doutes quant à l’impartialité de ce médecin. Sur le fond, ce rhumatologue retient une algoneurodystrophie. Il expose cependant que cette atteinte serait au décours, sans expliquer ce qui fonde cette appréciation, et alors même qu’il rapporte une discoloration et un œdème du membre inférieur gauche. Cette pathologie n’avait ainsi pas disparu, à tout le moins pas entièrement, lors de cet examen. Quant à la portée du fait que le recourant ne prend pas de traitement, on ne saurait y voir un facteur d’exclusion de la gravité de l’atteinte, la Dresse I______ ayant exposé que cette situation était due aux effets secondaires mal tolérés de la médication. Par ailleurs, le rapport du Dr H______ ne convainc pas en tant qu’il évoque des ressources importantes – ce point n’étant d’ailleurs pas nécessairement déterminant dans le cas d’une atteinte organique comme l’algoneurodystrophie. Au vu du descriptif des journées du recourant, qui indique passer l’essentiel de son temps assis avec sa tablette et la télévision en arrière-fond, sans vraiment y prêter attention, et qui doit déléguer toutes les tâches ménagères à ses parents ou à sa femme de ménage, on ne peut sérieusement se rallier à cette appréciation. Eu égard à l’absence quasiment totale d’activités sociales, hormis les repas occasionnels chez ses parents, on s’étonne également de lire que le recourant bénéfice d’une bonne intégration sociale. On peut en outre voir une certaine contradiction dans l’incapacité de travail partielle admise en raison des douleurs liées à l’algoneurodystrophie persistant à la date de l’examen et l’importante exagération des douleurs mentionnée. S’agissant du pronostic émis par le rhumatologue, on comprend par ailleurs mal en quoi la démonstrativité et l’exagération des symptômes – qui ne relèvent pas de facteurs médicaux à prendre en compte dans l’appréciation médico-théorique de la capacité de travail – pourraient avoir une influence sur la persistance de douleurs liées à une pathologie objectivée. Au vu de ces éléments, le rapport du Dr H______ ne suffit pas non plus à trancher la capacité de travail du recourant.</w:t>
      </w:r>
    </w:p>
    <w:p>
      <w:r>
        <w:rPr>
          <w:b/>
        </w:rPr>
        <w:t>E. 9.3</w:t>
      </w:r>
    </w:p>
    <w:p>
      <w:r>
        <w:t>En ce qui concerne l’expertise du CEMed, la Cour de céans peut renoncer à trancher les griefs de nature formelle que le recourant soulève au sujet de la désignation des experts, au vu de ce qui suit. Il convient de relever qu’il est avéré que les médecins qui l’ont établie n’ont pas eu accès à l’intégralité du dossier médical du recourant. Il n’est certes pas toujours indispensable qu’un expert dispose de tous les rapports médicaux concernant un expertisé, et on ne saurait non plus exiger qu’il commente chaque élément médical. Cependant, la connaissance des pièces importantes du dossier médical est l’une des exigences dégagées par la jurisprudence pour conférer valeur probante à un rapport médical. Elle est a fortiori incontournable lorsque, comme en l’espèce, les experts émettent des conclusions sur la capacité de travail sur une période remontant à plus de deux ans avant qu’ils n’aient examiné le recourant, et alors même qu’aucun des médecins traitants n’a mentionné une évolution favorable depuis 2019. Ce seul élément est de nature à susciter de très sérieux doutes sur la valeur probante de cette expertise. Sur le fond, en ce qui concerne les diagnostics, le Dr J______ retient notamment un status après « probable algoneurodystrophie ». On comprend mal pourquoi il semble mettre en doute ce diagnostic, alors qu’il a été posé par plusieurs autres médecins et étayé par l’imagerie. En effet, tant les spécialistes de la CRR que le Prof. C______, le Dr G______ et la Dresse D______ ont retenu cette pathologie. Il convient en outre de souligner que son co-expert, le Dr K______, évoque, lui, sans réserve ce diagnostic, dont il constate des séquelles persistantes. Le rapport du CEMed est sur ce point intrinsèquement contradictoire, alors même que l’expertise tridisciplinaire visait une appréciation consensuelle du cas. On observe en outre que les critères de Budapest ne sont pas formellement analysés dans cette expertise. A ce sujet, le Dr J______ soutient qu’il n’y aurait pas de signes évidents d’algodystrophie, tout en constatant une hypoesthésie, une acrocyanose et une amyotrophie – que le Dr H______ semblait d’ailleurs considérer comme un critère de gravité de la pathologie. Dans ces circonstances, on ne voit pas ce qui lui permet d’écarter ce diagnostic, même si ses manifestations se sont peut-être atténuées. Ainsi, le Dr J______ ne peut être suivi en tant qu’il conclut à l’absence de cause somatique aux troubles, malgré les éléments diagnostiques objectifs en faveur d’une algoneurodystrophie. Le fait que le traitement n’ait pas eu d’effet ne suffit pas non plus à exclure une origine somatique des troubles, les experts ne soutenant pas qu’un traitement conduit dans les règles de l’art permettrait de guérir une algoneurodystrophie. De plus, on rappellera que dans le cas d’espèce, l’évolution de cette atteinte avait été qualifiée de lente par les médecins de la CRR. En ce qui concerne les incohérences plusieurs fois mentionnées, les experts n’exposent guère en quoi elles consisteraient, hormis la différence entre leur appréciation des troubles et celle du recourant. Enfin, comme on l’a vu, ils concluent à une capacité de travail entière dès le 4 octobre 2019, sans aucunement indiquer ce qui leur permet de retenir cette date. Certes, le Dr F______ avait pronostiqué une stabilisation deux ans après l’apparition de l’atteinte dans son rapport de mars 2019. Cela étant, en matière d’assurance-accidents,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On peut appliquer ce principe par analogie en assurance-invalidité, et on ne saurait considérer une atteinte comme guérie par simple référence à sa durée usuelle de décours. En l’espèce, de tels éléments font défaut, les différents symptômes constatés suggérant au contraire que l’algoneurodystrophie n’a pas disparu. Les médecins du CEMed ne pouvaient ainsi se contenter de fixer l’exigibilité d’une reprise professionnelle uniquement en fonction du pronostic du Dr F______. Ce pronostic a du reste été infirmé par le Dr H______, qui admettait une incapacité de travail à tout le moins partielle lors de son examen en mai 2021, soit plus d’une année et demie plus tard. On notera d’ailleurs qu’au vu des traitements tentés par le Dr G______ au début de l’année 2021, il n’y avait pas de stabilisation de l’état de santé selon la définition en matière d’assurance-accidents. Enfin, et surtout, dans la mesure où les experts du CEMed s’écartent des conclusions des autres médecins, en particulier celles du Dr H______, qui sont, elles, fondées sur des observations médicales opérées en temps réel, ils ne pouvaient s’épargner de discuter de manière circonstanciée les motifs expliquant leurs divergences d’appréciation. Or, ils ne se prononcent absolument pas sur les autres rapports médicaux et sur les raisons pour lesquelles ils s’en écartent. Leur rapport n’est ainsi pas motivé à satisfaction de droit. Au vu de tous ces éléments, on ne saurait reconnaître de valeur probante à cette expertise. On précisera encore que, dès lors que l’algoneurodystrophie est un trouble de nature organique, les indicateurs développés par la jurisprudence pour apprécier l’incidence de troubles psychiques et de troubles sans étiologie somatique claire ne s’appliquent pas dans le cas d’espèce, si bien qu’il est inutile à ce stade de se pencher de manière détaillée sur le volet psychiatrique de cette expertise. Au demeurant, le recourant n’est plus suivi par un psychiatre depuis novembre 2019, et les médecins traitants qu’il a consultés par la suite n’ont pas rapporté de trouble de la sphère psychique après cette date.</w:t>
      </w:r>
    </w:p>
    <w:p>
      <w:r>
        <w:rPr>
          <w:b/>
        </w:rPr>
        <w:t>E. 9.4</w:t>
      </w:r>
    </w:p>
    <w:p>
      <w:r>
        <w:t>Le SMR s’est quant à lui écarté des conclusions du CEMed, ce qui tend à suggérer qu’il ne les considérait pas probantes. Comme le souligne à juste titre le recourant, au vu des prérogatives de ce service, il paraît douteux que celui-ci modifie de manière autonome les conclusions des experts. De plus, comme on l’a vu, des séquelles du CRPS persistaient lors de l’examen de décembre 2021, si bien qu’on ne peut suivre le SMR lorsqu’il affirme que cette atteinte avait disparu à cette date.</w:t>
      </w:r>
    </w:p>
    <w:p>
      <w:r>
        <w:rPr>
          <w:b/>
        </w:rPr>
        <w:t>E. 10</w:t>
      </w:r>
    </w:p>
    <w:p>
      <w:r>
        <w:t>Au vu des éléments qui précèdent, il n’existe pas d’avis médical probant permettant de trancher le droit aux prestations.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des différents rapports établis, notamment celles formelles de l’expertise du CEMed, à qui l’assureur-accidents n’a pas transmis l’intégralité du dossier du recourant, un renvoi à l’intimé se justifie pour mise en œuvre d’une nouvelle expertise. Celle-ci devra être confiée à un neurologue ou à un rhumatologue disposant de connaissances reconnues en matière de CRPS. Il lui appartiendra ensuite de rendre une nouvelle décision sur le droit du recourant à une rente d’invalidité au-delà du 31 mars 2022. Compte tenu de la procédure A/3188/2022 opposant l’assureur-accidents au recourant devant la Cour de céans, qui se conclut également par le renvoi de la cause à cet assureur, pour des motifs identiques à ceux exposés ci-dessus, il serait judicieux que l’intimé et l’assureur-accidents se concertent et désignent le même expert, dans le respect de la procédure prévue à l’art. 44 LPGA dans sa teneur en vigueur depuis le 1 er janvier 2022.</w:t>
      </w:r>
    </w:p>
    <w:p>
      <w:r>
        <w:rPr>
          <w:b/>
        </w:rPr>
        <w:t>E. 11</w:t>
      </w:r>
    </w:p>
    <w:p>
      <w:r>
        <w:t>Le recours est partiellement admis. Le recourant a droit à des dépens, qui seront fixés à CHF 3'000.- (art. 61 let. g LPGA). La procédure en matière d’octroi de prestations d’assurance-invalidité n’étant pas gratuite (art. 69 al. 1 bis LAI), l’intimé supporte l’émolument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