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A/3533/2023 vom 18. Juni 2024</w:t>
      </w:r>
    </w:p>
    <w:p>
      <w:r>
        <w:t>GE Cour de justice, 2024-06-18, FR</w:t>
      </w:r>
    </w:p>
    <w:p>
      <w:r>
        <w:rPr>
          <w:b/>
        </w:rPr>
        <w:t xml:space="preserve">Quelle: </w:t>
      </w:r>
      <w:r>
        <w:t>https://mcp.opencaselaw.ch/entscheid/ge_gerichte_A_3533_2023</w:t>
      </w:r>
    </w:p>
    <w:p>
      <w:r>
        <w:t>FR: GE_GERICHTE A/3533/2023 du 18 juin 2024</w:t>
      </w:r>
    </w:p>
    <w:p>
      <w:r>
        <w:t>IT: GE_GERICHTE A/3533/2023 del 18 giugno 2024</w:t>
      </w:r>
    </w:p>
    <w:p>
      <w:pPr>
        <w:pStyle w:val="Heading2"/>
      </w:pPr>
      <w:r>
        <w:t>Erwägungen</w:t>
      </w:r>
    </w:p>
    <w:p>
      <w:r>
        <w:rPr>
          <w:b/>
        </w:rPr>
        <w:t>E. 2</w:t>
      </w:r>
    </w:p>
    <w:p>
      <w:r>
        <w:t>pour la somme de CHF 16'000'000.- ou pour un montant total de transaction de CHF 21'800'000.-. La demande d'autorisation de construire (DD 3______) a ensuite été déposée le 6 mai 2021 et l'autorisation de construire a été accordée le 25 octobre 2021, selon les informations publiques figurant sur la plateforme SAD Consult (https://app2.ge.ch/sadconsult/dossier/DD 3______/1, consulté le 16 mai 2024). Lors de son octroi, l'autorisation de construire a été publiée le jour même sur la Feuille d'avis officielle de la République et canton de Genève (ci-après : FAO ; https://fao.ge.ch/avis/______, consulté le 16 mai 2024). Le chantier a ensuite commencé le 15 mars 2022 (https://app2.ge.ch/sadconsult/dossier/DD/3______/1, consulté le 16 mai 2024), ce dont les recourants ont connaissance, comme indiqué dans leur acte de recours. Dès lors, en faisant montre de la diligence qui pouvait être attendue de leur part, les recourants, qui avaient accès aux informations essentielles concernant l'opération exposées ci-dessus, ne pouvaient de bonne foi pas attendre le 30 octobre 2023, soit presque quatre ans après l'irrégularité alléguée, le communiqué de presse et les articles de presse, deux ans après l'octroi de l'autorisation de construire et un an et demi après le début des travaux pour se plaindre de l'absence d'approbation par le Grand Conseil du transfert des droits à bâtir et, par voie de conséquence, de l'impossibilité de référendum populaire contre ladite approbation. Si la compétence de la chambre constitutionnelle devait être reconnue, le recours interjeté devant elle serait par conséquent manifestement irrecevable.</w:t>
      </w:r>
    </w:p>
    <w:p>
      <w:r>
        <w:rPr>
          <w:b/>
        </w:rPr>
        <w:t>E. 2.2</w:t>
      </w:r>
    </w:p>
    <w:p>
      <w:r>
        <w:t>Le délai de recours est de 30 jours s’il s’agit d’une décision finale ou d’une décision en matière de compétence (let. a), dix jours s’il s’agit d’une autre décision (let. b), 30 jours s’il s’agit d’une loi constitutionnelle, d’une loi ou d’un règlement du Conseil d'État (let. d ; art. 62 al. 1 LPA).</w:t>
      </w:r>
    </w:p>
    <w:p>
      <w:r>
        <w:rPr>
          <w:b/>
        </w:rPr>
        <w:t>E. 2.3</w:t>
      </w:r>
    </w:p>
    <w:p>
      <w:r>
        <w:t>Les délais de réclamation et de recours fixés par la loi sont des dispositions impératives de droit public. Ils ne sont, en principe, pas susceptibles d’être prolongés (art. 16 al. 1, 1 re phr., LPA), restitués ou suspendus, si ce n’est par le législateur lui-même. Ainsi, celui qui n’agit pas dans le délai prescrit est forclos et la décision en cause acquiert force obligatoire. Les cas de force majeure restent toutefois réservés (art. 16 al. 1 2 e phr. LPA). Tombent sous cette notion les événements extraordinaires et imprévisibles qui surviennent en dehors de la sphère d’activité de l’intéressé et qui s’imposent à lui de l’extérieur de façon irrésistible ( ACST/40/2021 du 30 novembre 2021 consid. 2b et les références citées).</w:t>
      </w:r>
    </w:p>
    <w:p>
      <w:r>
        <w:rPr>
          <w:b/>
        </w:rPr>
        <w:t>E. 2.4</w:t>
      </w:r>
    </w:p>
    <w:p>
      <w:r>
        <w:t>En l'espèce, les recourants affirment que leur recours serait recevable car il serait soumis à un délai de 30 jours à compter de la transmission de la convention par courrier du 28 septembre 2023. L'autorité intimée affirme que le recours serait soumis à un délai de six jours et qu'il serait tardif même à admettre un délai de 30 jours.</w:t>
      </w:r>
    </w:p>
    <w:p>
      <w:r>
        <w:rPr>
          <w:b/>
        </w:rPr>
        <w:t>E. 2.4.1</w:t>
      </w:r>
    </w:p>
    <w:p>
      <w:r>
        <w:t>En l'occurrence, les recourants ont formé un recours pour violation de leurs droits politiques, soit leur droit à faire référendum contre l'approbation du Grand Conseil qui n'a pas été demandée par le Conseil d'État et donc leur droit à demander un vote sur ladite approbation. Il s'agit donc à suivre cette argumentation d'un litige en matière d'élections et de votations. Or, un tel recours, qui n'est dirigé ni contre une décision finale ou en matière de compétence, ni contre une autre décision, ni contre une loi constitutionnelle, une loi ou un règlement du Conseil d'État, est soumis à un délai de six jours conformément à l'art. 62 let. c LPA et les recourants eux-mêmes, qui ont formé recours le 30 octobre 2023, reconnaissent ne pas avoir agi dans ledit délai. S'il n'y a pas autant d'urgence dans le cas présent que lorsqu'une élection ou une votation est directement en jeu, il n'en demeure pas moins qu'il s'agit là d'un délai légal applicable à tout recours en matière de votations et d'élections. Le recours est par conséquent tardif. Au demeurant, même à admettre que le recours serait soumis à un délai de 30 jours, il serait également tardif. En effet, l'irrégularité alléguée s'est produite lors de l'adoption de l'arrêté du Conseil d'État, qui n'a pas été versé à la procédure, et de la signature de la convention, le 20 novembre 2019, puisque c'est ce jour-là que le Conseil d'État a procédé sans l'approbation du Grand Conseil que les recourants affirment nécessaire. Si les recourants n'avaient alors aucun moyen d'avoir connaissance de ces faits, un communiqué de presse a été publié le lendemain puis des articles de presse le surlendemain. Comme le soulignent les recourants, le communiqué de presse ne contient pas beaucoup de précisions sur l'opération relative aux droits à bâtir, puisqu'il indique simplement que F______ bénéficierait d'un DDP et de droits à bâtir lui permettant la construction de l'ensemble des bâtiments de l'îlot B, sans mentionner directement le fait que des droits à bâtir avaient été transférés. Toutefois, les articles de presse du 22 novembre 2019 parlent de « vente » et de « cession » de droits à bâtir de 5'000 m</w:t>
      </w:r>
    </w:p>
    <w:p>
      <w:r>
        <w:rPr>
          <w:b/>
        </w:rPr>
        <w:t>E. 2.4.2</w:t>
      </w:r>
    </w:p>
    <w:p>
      <w:r>
        <w:t>Par ailleurs, à supposer qu'en vertu de la jurisprudence relative aux atteintes indirectes mentionnée au consid. 1.4, la chambre constitutionnelle soit incompétente, l'acte attaqué serait vraisemblablement l'arrêté du Conseil d'État, comme il découle du contenu de l'acte de recours, interjeté dans les 30 jours après la communication de la convention – étant relevé que le caractère attaquable de cet arrêté n'est pas évident –, ou éventuellement l'autorisation de construire appliquant le transfert des droits à bâtir. Dans le premier cas, la compétence pourrait, le cas échéant, revenir à la chambre administrative (art. 132 LOJ) et, dans le second, au Tribunal administratif de première instance (art. 145 al. 1 loi sur les constructions et les installations diverses du 14 avril 1988 - LCI - L 5 05), puis sur recours à la chambre administrative (art. 132 LOJ). Or, le raisonnement qui précède sur le délai de 30 jours serait directement transposable en cas de recours contre l'arrêté, qui serait donc tardif. Il en irait de même du recours contre l'autorisation de construire, interjeté plus de 30 jours après sa publication dans la FAO. Vu cette irrecevabilité manifeste, même à retenir que la chambre constitutionnelle serait incompétente, toute transmission du recours au TAPI ou à la chambre administrative (art. 11 al. 3 LPA) constituerait une formalité inutile et se heurterait au principe d'économie de procédure, de sorte qu'il ne se justifierait pas de procéder à une telle transmission. Dans ces circonstances, le recours sera déclaré irrecevable.</w:t>
      </w:r>
    </w:p>
    <w:p>
      <w:r>
        <w:rPr>
          <w:b/>
        </w:rPr>
        <w:t>E. 3</w:t>
      </w:r>
    </w:p>
    <w:p>
      <w:r>
        <w:t>Vu l'issue du litige, un émolument de CHF 1'000.- sera mis à la charge solidaire des recourants (art. 87 al. 1 LPA), et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