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A/352/2009 vom 19. Mai 2009</w:t>
      </w:r>
    </w:p>
    <w:p>
      <w:r>
        <w:t>GE Cour de justice, 2009-05-19, FR</w:t>
      </w:r>
    </w:p>
    <w:p>
      <w:r>
        <w:rPr>
          <w:b/>
        </w:rPr>
        <w:t xml:space="preserve">Quelle: </w:t>
      </w:r>
      <w:r>
        <w:t>https://mcp.opencaselaw.ch/entscheid/ge_gerichte_A_352_2009</w:t>
      </w:r>
    </w:p>
    <w:p>
      <w:r>
        <w:t>FR: GE_GERICHTE A/352/2009 du 19 mai 2009</w:t>
      </w:r>
    </w:p>
    <w:p>
      <w:r>
        <w:t>IT: GE_GERICHTE A/352/2009 del 19 maggio 2009</w:t>
      </w:r>
    </w:p>
    <w:p>
      <w:pPr>
        <w:pStyle w:val="Heading2"/>
      </w:pPr>
      <w:r>
        <w:t>Erwägungen</w:t>
      </w:r>
    </w:p>
    <w:p>
      <w:r>
        <w:rPr>
          <w:b/>
        </w:rPr>
        <w:t>E. 8</w:t>
      </w:r>
    </w:p>
    <w:p>
      <w:r>
        <w:t>L'assurée conteste encore le fait qu'aucun taux d'abattement supplémentaire n'ait été admis par l'OCAI.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rPr>
          <w:b/>
        </w:rPr>
        <w:t>E. 9</w:t>
      </w:r>
    </w:p>
    <w:p>
      <w:r>
        <w:t>En l'espèce, l'OCAI n'a retenu aucun abattement supplémentaire sur le revenu d'invalide en faveur de l'assurée. Le Tribunal de céans n'a aucun motif pertinent de s'écarter de cette appréciation. On relèvera à cet égard que l'assurée est certes de nationalité portugaise. Cela étant, elle est au bénéfice d’un permis C et réside en Suisse depuis une vingtaine d’années, de sorte que le critère de la nationalité étrangère ne peut être retenu. Enfin, le faible niveau d’éducation et l’absence de formation ne sont pas des facteurs qui peuvent être pris en compte dans le cadre de la réduction des salaires statistiques (ATF 126 V 75 ). Il y a ainsi lieu de confirmer les degrés d'invalidité retenus tant dans une activité adaptée que dans celle de vendeuse en boulangerie, respectivement de 0% et de 20%., insuffisants pour justifier le droit à une rente d'invalidité. Reste à ajouter que même si l'on tenait compte d'un abattement de 10% qui constituerait le maximum envisageable, ce pour tenir compte de ses limitations dans une activité adaptée, le degré d'invalidité resterait trop faible pour ouvrir le droit à une rente.</w:t>
      </w:r>
    </w:p>
    <w:p>
      <w:r>
        <w:rPr>
          <w:b/>
        </w:rPr>
        <w:t>E. 10</w:t>
      </w:r>
    </w:p>
    <w:p>
      <w:r>
        <w:t>L'assurée a requis la prise en charge de mesures de réadaptation professionnelles.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RCC 1980 p. 252; ZAK 1980 p. 270).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est d’offrir une possibilité de gain à peu près équivalente à celle dont disposait la personne assurée sans invalidité (cf. VSI 2002 p. 109 consid. 2a ; RJJ 1998 p. 281 consid. 1b et les références). Il y a lieu de constater qu'en l'espèce, l'assurée, présentant un degré d'invalidité nul, puisque capable de travailler à 100% dans une activité adaptée, ne peut pas prétendre à des mesures de réadaptation. C'est dès lors à bon droit que l'OCAI a nié le droit de l'assurée à de telles mesures. Seule une prestation de type aide au placement pourrait être envisagée.</w:t>
      </w:r>
    </w:p>
    <w:p>
      <w:r>
        <w:rPr>
          <w:b/>
        </w:rPr>
        <w:t>E. 13</w:t>
      </w:r>
    </w:p>
    <w:p>
      <w:r>
        <w:t>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a donc étendu les droits des assurés à l'égard des offices de l'assurance-invalidité en matière d'aide au placement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En l'occurrence, l'assurée n'est atteinte d'aucune invalidité, mais la longue période d'inactivité qu'elle a vécue peut rendre difficile une réinsertion dans le milieu professionnel. C'est pourquoi elle doit être mise au bénéfice d'une mesure d'aide au placement, à sa demande. Une aide au placement devra dès lors être accordée à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