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A/3529/2007 vom 4. Mai 2006</w:t>
      </w:r>
    </w:p>
    <w:p>
      <w:r>
        <w:t>GE Cour de justice, 2006-05-04, FR</w:t>
      </w:r>
    </w:p>
    <w:p>
      <w:r>
        <w:rPr>
          <w:b/>
        </w:rPr>
        <w:t xml:space="preserve">Quelle: </w:t>
      </w:r>
      <w:r>
        <w:t>https://mcp.opencaselaw.ch/entscheid/ge_gerichte_A_3529_2007</w:t>
      </w:r>
    </w:p>
    <w:p>
      <w:r>
        <w:t>FR: GE_GERICHTE A/3529/2007 du 4 mai 2006</w:t>
      </w:r>
    </w:p>
    <w:p>
      <w:r>
        <w:t>IT: GE_GERICHTE A/3529/2007 del 4 maggio 2006</w:t>
      </w:r>
    </w:p>
    <w:p>
      <w:pPr>
        <w:pStyle w:val="Heading2"/>
      </w:pPr>
      <w:r>
        <w:t>Erwägungen</w:t>
      </w:r>
    </w:p>
    <w:p>
      <w:r>
        <w:rPr>
          <w:b/>
        </w:rPr>
        <w:t>E. 6</w:t>
      </w:r>
    </w:p>
    <w:p>
      <w:r>
        <w:t>d) Il y a enfin lieu d'observer que l'intéressé conclut à l'annulation desdites décisions, au motif "qu'il ne saurait voir ses prestations de deuxième pilier de l'année 2007 être diminuées par rapport à celles dont il bénéficiait en 2006". Le Tribunal de céans en déduit qu'il conteste en réalité, ce pour le moins implicitement, les calculs de sur-indemnisation ayant conduit à des réductions de ses prestations. L'intéressé a été mis au bénéfice d'une rente entière d'invalidité depuis le 1 er janvier 2005 et d'une pension LPP dès le 1 er février 2006. Selon l'art. 24 OPP 2, l'institution de prévoyance peut réduire les prestations d'invalidité et de survivants dans la mesure où, ajoutées à d'autres revenus à prendre en compte, elles dépassent 90 pour cent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 2). Depuis les modifications apportées à l'OPP 2 par la novelle du 28 octobre 1992 (entrée en vigueur le 1er janvier 1993), la rente pour l'épouse et les rentes pour enfants sont comptées à parts entières dans le calcul de surindemnisation (ATF 126 V 468 , 122 V 316 ). Par « gain annuel dont on peut présumer que l'intéressé est privé », il faut entendre le salaire hypothétique que l'assuré réaliserait sans invalidité. Cela peut conduire, après la fixation de la rente, à une modification du calcul de surindemnisation si l'on peut admettre, concrètement, que le montant de ce revenu hypothétique se serait modifié de manière importante (ATF 123 V 209 consid. 5b; 122 V 154 consid. 3c). Il y a une modification importante s'il en résulte une adaptation des prestations de 10 % au moins (ATF 123 V 201 consid. 5d, 211 consid. 6c/bb). Il s'agit du salaire hypothétique que l'assuré réaliserait sans invalidité, au moment où doit s'effectuer le calcul de surindemnisation (ATF 123 V 197 consid. 5a, 209 consid. 5b et les références) étant précisé que, dans le cadre d'un litige en matière de prévoyance professionnelle, l'état de fait déterminant est celui qui s'est produit jusqu'à la date du jugement cantonal (ATF 130 V 79 ; RSAS 1999 p. 149). On rappellera qu'il existe une étroite relation entre le gain annuel présumé perdu (art. 24 OPP 2) et le revenu sans invalidité déterminant pour l'évaluation de l'invalidité (art. 28 al. 2 aLAI; art. 16 LPGA), lequel se déduit en principe du salaire réalisé en dernier lieu par l'assuré avant l'atteinte à la santé, en tenant compte de l'évolution des salaires (ATFA non publié du 22 mars 2004, B 98/03, consid. 4.2 et les références; cf. KIESER, ATSG Kommentar, note 12 ad art. 69). La réglementation ainsi décrite ne vaut toutefois que pour les prestations de la prévoyance professionnelle obligatoire. Pour ce qui est de la prévoyance plus étendue, les institutions de prévoyance restent libres de régler différemment la coordination avec d'autres assurances sociales (art. 49 al. 2 LPP; ATF 122 V 155 consid. 3d et les références citées), pour autant qu'elles respectent certains principes, notamment celui de la concordance des droits, qui a une portée générale (ATF 129 V 154 consid. 2.2). Les prestations réglementaires allant au-delà des prestations minimales selon la LPP, il y a lieu d'examiner, dans un premier temps, si la réduction des prestations en cause est justifiée au regard des dispositions réglementaires de l'institution de prévoyance, puis de déterminer si la réduction s'impose en application des exigences minimales de la LPP (prévoyance professionnelle obligatoire; art. 6 LPP), autrement dit si le demandeur bénéficie au moins des prestations légales selon la LPP. En l'espèce, une première correction a été apportée en mars 2007 par la caisse, du fait que les allocations pour charge d'assistance des fils ainés issus du premier mariage avaient initialement été retenues dans le calcul du montant du salaire dont l'intéressé a vraisemblablement été privé. Cette correction n'a pas été contestée, l'intéressé ayant remboursé à la caisse le montant ainsi trop perçu.</w:t>
      </w:r>
    </w:p>
    <w:p>
      <w:r>
        <w:rPr>
          <w:b/>
        </w:rPr>
        <w:t>E. 10</w:t>
      </w:r>
    </w:p>
    <w:p>
      <w:r>
        <w:t>Un nouveau règlement a été adopté par le conseil de fondation de la caisse le 29 juin 2006 (ci-après règlement 2007) et est entré en vigueur le 1 er janvier 2007. Il remplace les dispositions d'exécution du précédent règlement, qui était entré en vigueur le 1 er janvier 2004, et était dès lors applicable au moment de l'octroi de la pension d'invalidité. Aux termes de l'art. 25 du règlement 2007 : 1° La caisse réduit les prestations d'invalidité et de survivants déterminées selon le présent règlement dans la mesure où, ajoutées aux autres revenus pris en compte, elles dépassent le 90 pour cent du salaire annuel brut que réaliserait l'intéressé s'il était resté en activité, augmenté des éventuelles allocations familiales. 2° Les revenus pris en compte sont : les prestations de l'AVS et de l'AI (…) les revenus provenant d'une activité lucrative d'un invalide complet, dans la mesure où ces deniers dépassent la moitié de la rente complète maximale AVS. (…) 6° En cas de réduction de prestations dans le cadre d'un divorce ou de l'encouragement à la propriété du logement, les prestations déterminantes prises en compte sont celles qui auraient été dues si l'assuré n'avait pas subi de réduction. 7° Pour le calcul de surindemnisation, les prestations en capital sont transformées en pensions selon les bases techniques de la caisse. (…) 9° Le montant de la réduction est réexaminé périodiquement et adapté lorsque la situation se modifie de manière substantielle. L'art. 66 du règlement 2007 précise que: 1° La surindemnisation est recalculée lorsque la situation d'un bénéficiaire de pensions change de manière significative. Le calcul s'effectue selon le nouveau règlement. 2° Après l'entrée en vigueur du nouveau règlement et dans le souci de traitement égalitaire, la surindemnisation est recalculée selon le nouveau règlement pour toutes les pensions d'invalidité en cours et adaptée au 1 er juillet 2007. Il y a lieu de constater que le règlement 2004 ne prévoyait pas la prise en compte du retrait anticipé (art. 13 du règlement 2004), ce contrairement au règlement 2007 (art. 25 al. 6). La caisse a enfin procédé à un nouveau calcul de surindemnisation au 1 er octobre 2007, en raison de la suppression de la rente de l'enfant né le 8 septembre 1989, celui-ci ayant atteint la majorité et ne suivant ni étude ni apprentissage. Force est de constater que les calculs auxquels a procédé la caisse l'ont été, à chaque fois, conformément aux dispositions légales et réglementaires applicables, étant précisé que la solution retenue en dernier lieu par la caisse est plus favorable à l'intéressé que celle prévue par l'art. 25 al. 6 du règlement 2007. On ne voit pas à cet égard, faute de collaboration de l'intéressé, sur quelle base les calculs pourraient être critiqués. On peut à cet égard rappeler à l'intéressé que les parties ont l'obligation de collaborer à l'instruction de l'affaire et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Le devoir du juge de constater les faits pertinents ne dispense pas les parties de collaborer à l'administration des preuves en donnant des indications sur les faits de la cause ou en désignant des moyens de preuve (ATF 130 I 184 consid. 3.2, 128 III 411 consid. 3.2.1 et 412 ss consid. 3.2.2). Si le principe inquisitoire dispense les parties de l'obligation de prouver, il ne les libère pas du fardeau de la preuve. En effet, en cas d'absence de preuve, c'est à la partie qui voulait en déduire un droit d'en supporter les conséquences (ATF 117 V 264 consid. 3), sauf si l'impossibilité de prouver un fait peut être imputée à l'adverse partie (ATF 124 V 375 consid. 3; RAMA 1999 n° U 344, p. 418 consid. 3, ATFA non publié du 21 novembre 2001, U 58/01, consid. 4a).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149 consid. 4, 106 V 123 consid. 3). Aussi le recours, mal fondé, est-il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