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A/3521/2025 vom 11. August 2016</w:t>
      </w:r>
    </w:p>
    <w:p>
      <w:r>
        <w:t>GE Cour de justice, 2016-08-11, FR</w:t>
      </w:r>
    </w:p>
    <w:p>
      <w:r>
        <w:rPr>
          <w:b/>
        </w:rPr>
        <w:t xml:space="preserve">Quelle: </w:t>
      </w:r>
      <w:r>
        <w:t>https://mcp.opencaselaw.ch/entscheid/ge_gerichte_A_3521_2025</w:t>
      </w:r>
    </w:p>
    <w:p>
      <w:r>
        <w:t>FR: GE_GERICHTE A/3521/2025 du 11 août 2016</w:t>
      </w:r>
    </w:p>
    <w:p>
      <w:r>
        <w:t>IT: GE_GERICHTE A/3521/2025 del 11 agosto 2016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rPr>
          <w:b/>
        </w:rPr>
        <w:t>E. 2</w:t>
      </w:r>
    </w:p>
    <w:p>
      <w:r>
        <w:t>Le recourant requiert la restitution de l’effet suspensif à son recours.</w:t>
      </w:r>
    </w:p>
    <w:p>
      <w:r>
        <w:rPr>
          <w:b/>
        </w:rPr>
        <w:t>E. 3</w:t>
      </w:r>
    </w:p>
    <w:p>
      <w:r>
        <w:t>Depuis le 1 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3.1</w:t>
      </w:r>
    </w:p>
    <w:p>
      <w:r>
        <w:t>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 a LPGA, entré en vigueur le 1 er janvier 2021. La pratique fondée sur l’ATF 130 V 407 , qui n’autorise pas le retrait de l’effet suspensif en cas de créances en restitution de prestations indûment perçues, n’est en revanche pas modifiée en vertu de cette harmonisation de la LPGA ( cf. art. 49 al. 5 2 e phrase LPGA).</w:t>
      </w:r>
    </w:p>
    <w:p>
      <w:r>
        <w:rPr>
          <w:b/>
        </w:rPr>
        <w:t>E. 3.2</w:t>
      </w:r>
    </w:p>
    <w:p>
      <w:r>
        <w:t>Les dispositions de la PA continuent à s’appliquer pour les questions liées à l’effet suspensif qui ne sont pas réglées par l’art. 49 al. 5 LPGA (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 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 er mai 2014 consid. 5.3).</w:t>
      </w:r>
    </w:p>
    <w:p>
      <w:r>
        <w:rPr>
          <w:b/>
        </w:rPr>
        <w:t>E. 4.1</w:t>
      </w:r>
    </w:p>
    <w:p>
      <w:r>
        <w:t>En principe, le droit aux rentes est soustrait à toute exécution forcée (art. 20 al. 1 de la loi fédérale sur l'assurance-vieillesse et survivants, du 20 décembre 1946 [LAVS - RS 831.10]). Toutefois,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4.2</w:t>
      </w:r>
    </w:p>
    <w:p>
      <w:r>
        <w:t>En raison de la nature des créances qui sont en jeu et compte tenu de l'art. 125 ch. 2 de la loi fédérale complétant le Code civil suisse, du 30 mars 1911 (CO ‑ RS 220), la créance d'une institution de sécurité sociale ne peut être compensée avec une prestation due à un assuré, si de ce fait les ressources de celui-ci descendent au-dessous du minimum vital au sens de l'art. 93 de la loi fédérale sur la poursuite pour dettes et la faillite, du 11 avril 1889 (LP - RS 281.1 ; ATF 138 V 235 consid. 7.2 ; 136 V 286 consid. 6.1 ; 130 V 505 consid. 2.4 ; 128 V 50 consid. 4a ; 115 V 341 consid. 2c).</w:t>
      </w:r>
    </w:p>
    <w:p>
      <w:r>
        <w:rPr>
          <w:b/>
        </w:rPr>
        <w:t>E. 4.3</w:t>
      </w:r>
    </w:p>
    <w:p>
      <w:r>
        <w:t>D'un point de vue temporel, l'examen du minimum vital nécessite que l'on se place au moment où le recourant doit s'acquitter de sa dette, soit au plus tard au moment de la décision de compensation litigieuse (ATF 113 V 254 consid. 4b ; 104 V 61 ). Le juge des assurances sociales peut cependant exceptionnellement tenir compte de faits nouveaux, postérieurs au prononcé de la décision de la caisse (ATF 104 V 61 ).</w:t>
      </w:r>
    </w:p>
    <w:p>
      <w:r>
        <w:rPr>
          <w:b/>
        </w:rPr>
        <w:t>E. 5.1</w:t>
      </w:r>
    </w:p>
    <w:p>
      <w:r>
        <w:t>En l’espèce, la décision litigieuse ne retire pas formellement l’effet suspensif à un éventuel recours. Cependant, eu égard, d’une part, à sa motivation (paragraphe 29), selon laquelle l’intimée s’oppose à toute restitution de l’effet suspensif de l’opposition, d’autre part, à la compensation effectivement opérée par l’intimée sur la rente AVS du recourant nonobstant le présent recours ainsi que la conclusion de l’intimée en rejet du rétablissement de l’effet suspensif du 21 octobre 2025, il y a lieu d’admettre que l’intimée entendait retirer l’effet suspensif au présent recours, ce que le recourant a d’ailleurs compris, dès lors qu’il présente une requête en restitution de celui-ci.</w:t>
      </w:r>
    </w:p>
    <w:p>
      <w:r>
        <w:rPr>
          <w:b/>
        </w:rPr>
        <w:t>E. 5.2</w:t>
      </w:r>
    </w:p>
    <w:p>
      <w:r>
        <w:t>Il incombe au recourant, qui prétend à une compensation immédiatement limitée à un montant de CHF 461.-, d’apporter des éléments suffisamment probants pour considérer que le calcul du minimum vital sur lequel l’intimée s’est fondée est, selon toute vraisemblance, erroné, étant rappelé que ce calcul correspond à celui fixé dans l’arrêt de la chambre de céans du 19 août 2024, confirmé par le Tribunal fédéral le 25 août 2025.</w:t>
      </w:r>
    </w:p>
    <w:p>
      <w:r>
        <w:rPr>
          <w:b/>
        </w:rPr>
        <w:t>E. 5.3</w:t>
      </w:r>
    </w:p>
    <w:p>
      <w:r>
        <w:t>Le recourant se contente tout d’abord de contester de manière vague le revenu de CHF 1'700.- retenu au titre des activités fiduciaires, ce qui est insuffisant pour le remettre en cause. Il en est de même de la prime d’assurance-maladie de l’épouse du recourant, celui-ci s’étant limité à transmettre des extraits de factures dont certaines sont illisibles, ainsi qu’un relevé anonyme mentionnant des paiements à J______ ASSURANCE MALADIE SA. En l’absence d’une copie de la police d’assurance de son épouse avec mention du montant de la prime d’assurance-maladie, il n’est pas possible de prendre en compte une prime d’assurance pour l’épouse du recourant. Le recourant conteste ensuite le revenu pris en compte pour son épouse dès janvier 2024, de CHF 7'137.80, en faisant valoir que, selon les décomptes de salaire de celle-ci des mois de juillet, août et septembre 2024, le salaire net mensuel est de CHF 5'820.75. C’est à la demande de la chambre de céans qu’il a produit le 27 novembre 2025 une copie du certificat de salaire 2024 de son épouse, lequel fait état d’un revenu net de CHF 79'260.-, soit mensuel net de CHF 6'605.-. Il a également produit les fiches de salaire de son épouse pour janvier et février 2025, mentionnant un revenu mensuel net de CHF 5'826.95. En conséquence, le revenu mensuel net de l’épouse est, en 2024, de CHF 6'605.- et non pas de CHF 7'237.80. C’est ce montant qui doit être retenu, étant relevé que les fiches de salaire de janvier et février 2025 établissent que le revenu s’est maintenu au-delà de l’année 2024. Quant à la séparation de corps que le recourant invoque depuis le 29 mars 2025, si elle apparait effectivement dans le registre Calvin de l’OCPM, elle ne permet pas encore, selon toute vraisemblance, de considérer que le recourant vit séparé de son épouse, comme il l’allègue, dans une caravane au camping de l’E______. En effet, comme souligné par l’intimée, le camping est ouvert pour l’année 2025, seulement du 29 mars au 26 octobre. Même si la facture de H______ SA du 5 novembre 2025 mentionne que l’emplacement est disponible douze mois, cela ne permet pas encore de considérer que la caravane peut être habitée toute l’année. En outre, la location d’une caravane par F______, laquelle était encore mineure en mars 2025, parait, en l’état, douteuse. Enfin, le calcul du minimum vital de l’office cantonal des poursuites du 7 octobre 2025 semble avoir été effectué uniquement sur la base des déclarations du recourant lors de son audition du même jour, de sorte qu’il ne saurait être considéré comme entièrement probant.</w:t>
      </w:r>
    </w:p>
    <w:p>
      <w:r>
        <w:rPr>
          <w:b/>
        </w:rPr>
        <w:t>E. 5.4</w:t>
      </w:r>
    </w:p>
    <w:p>
      <w:r>
        <w:t>Au demeurant, le calcul opéré dans l’arrêt du 19 août 2024 ( ATAS/622/2024 ) doit être modifié comme suit, pour prendre en compte, dès octobre 2024, un salaire réduit de l’épouse du recourant : Revenus de la famille : -          Épouse CHF 6'605.- -          Rente AVS (recourant) CHF 1'882.- -          Rente LAA (recourant) CHF 1'672.- -          Revenus fiduciaires CHF 1'700.- Total des revenus de la famille CHF 11'859.- Dont part réalisée par l'épouse : CHF 6'605.- (55.70%) Dont part réalisée par le recourant : CHF 5'254.- (44.30%) Charges de la famille : -          Montant de base mensuel CHF 1'700.- -          Logement CHF 2'100.- -          Assurance-maladie recourant CHF 552.50 -          Transport recourant CHF 70.- -          Transport épouse CHF 70.- Total des charges incompressibles de la famille CHF 4'492.50 Dont le 55,70% imputé à l'épouse : CHF 2'502.30 Dont le 44,30% imputé au recourant : CHF 1'990.20 Le solde disponible du recourant s'élève ainsi à CHF 3'263.80 par mois (5’254.-‑ 1'990.20). En conséquence, la retenue mensuelle de CHF 941.-, cumulée à celle de la décision du 29 mars 2023, aboutissant à la retenue de la totalité de la rente AVS du recourant de CHF 1'882.- ne porte pas atteinte au minimum vital du recourant.</w:t>
      </w:r>
    </w:p>
    <w:p>
      <w:r>
        <w:rPr>
          <w:b/>
        </w:rPr>
        <w:t>E. 6</w:t>
      </w:r>
    </w:p>
    <w:p>
      <w:r>
        <w:t>Partant, la requête en restitution de l’effet suspensif au recours ne peut qu’être rejetée et le fond réservé.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