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A/351/2024 vom 14. Oktober 2025</w:t>
      </w:r>
    </w:p>
    <w:p>
      <w:r>
        <w:t>GE Cour de justice, 2025-10-14, FR</w:t>
      </w:r>
    </w:p>
    <w:p>
      <w:r>
        <w:rPr>
          <w:b/>
        </w:rPr>
        <w:t xml:space="preserve">Quelle: </w:t>
      </w:r>
      <w:r>
        <w:t>https://mcp.opencaselaw.ch/entscheid/ge_gerichte_A_351_2024</w:t>
      </w:r>
    </w:p>
    <w:p>
      <w:r>
        <w:t>FR: GE_GERICHTE A/351/2024 du 14 octobre 2025</w:t>
      </w:r>
    </w:p>
    <w:p>
      <w:r>
        <w:t>IT: GE_GERICHTE A/351/2024 del 14 ottobre 2025</w:t>
      </w:r>
    </w:p>
    <w:p>
      <w:pPr>
        <w:pStyle w:val="Heading2"/>
      </w:pPr>
      <w:r>
        <w:t>Erwägungen</w:t>
      </w:r>
    </w:p>
    <w:p>
      <w:r>
        <w:rPr>
          <w:b/>
        </w:rPr>
        <w:t>E. 4</w:t>
      </w:r>
    </w:p>
    <w:p>
      <w:r>
        <w:t>Reste à examiner si la recourante peut se voir attribuer une autorisation de séjour pour cas d'extrême gravité.</w:t>
      </w:r>
    </w:p>
    <w:p>
      <w:r>
        <w:rPr>
          <w:b/>
        </w:rPr>
        <w:t>E. 4.1</w:t>
      </w:r>
    </w:p>
    <w:p>
      <w:r>
        <w:t>L'art. 30 al. 1 let. b LEI permet de déroger aux conditions d'admission, telles que prévues aux art. 18 à 29 LEI, notamment dans le but de tenir compte des cas individuels d'une extrême gravité ou d'intérêts publics majeurs.</w:t>
      </w:r>
    </w:p>
    <w:p>
      <w:r>
        <w:rPr>
          <w:b/>
        </w:rPr>
        <w:t>E. 4.2</w:t>
      </w:r>
    </w:p>
    <w:p>
      <w:r>
        <w:t>À teneur de l'art. 31 al. 1 OASA, lors de l'appréciation de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art. 58 a LEI et 77 f OASA ont déjà été cités supra . Les critères énumérés à l'art. 31 al. 1 OASA, qui doivent impérativement être respectés, ne sont toutefois pas exhaustifs, d'autres éléments pouvant également entrer en considération, comme les circonstances concrètes ayant amené un étranger à séjourner illégalement en Suisse (directives LEI, ch. 5.6.10).</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4.4</w:t>
      </w:r>
    </w:p>
    <w:p>
      <w:r>
        <w:t>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w:t>
      </w:r>
    </w:p>
    <w:p>
      <w:r>
        <w:rPr>
          <w:b/>
        </w:rPr>
        <w:t>E. 4.5</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ATA/619/2025 du 3 juin 2025 consid. 2.7).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 ATA/619/2025 précité consid. 2.7 ; ATA/506/2023 du 16 mai 2023 consid. 7.7). L'on ne saurait, de manière générale, prolonger indéfiniment le séjour d'une personne au seul motif que la perspective d'un retour exacerbe un état psychologique perturbé, et ni une tentative de suicide ni des tendances suicidaires (« suicidalité ») ne s'opposent en soi à l'exécution du renvoi, y compris au niveau de son exigibilité, seule une mise en danger présentant des formes concrètes devant être prise en considération (arrêt du TAF E‑3188/2022 du 6 octobre 2022 et les arrêts cités ; ATA/619/2025 du 3 juin 2025 consid. 2.8 ; ATA/1475/2024 du 17 décembre 2024 consid. 4.12).</w:t>
      </w:r>
    </w:p>
    <w:p>
      <w:r>
        <w:rPr>
          <w:b/>
        </w:rPr>
        <w:t>E. 4.6</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4.7</w:t>
      </w:r>
    </w:p>
    <w:p>
      <w:r>
        <w:t>La jurisprudence admet un droit de séjour pour violence domestique lorsque l'auteur inflige des mauvais traitements systématiques à la victime pour affirmer sa supériorité et exercer un contrôle sur elle (ATF 138 II 229 consid. 3.2.2 ; arrêt du Tribunal fédéral 2C_295/2012 du 5 septembre 2012 consid. 3.2). La violence domestique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12 mars 2010 consid. 2.1). L'octroi à une victime de violence domestique d'une autorisation de séjour qui lui est propre permet d'éviter qu'elle ne reste dans une communauté conjugale devenue objectivement insupportable pour elle dans le seul but d'éviter les conséquences négatives qu'aurait la séparation pour son droit de rester en Suisse (ATF 138 II 229 consid. 3.2.2 ; arrêt du Tribunal fédéral 2C_777/2018 du 8 avril 2019 consid. 4.3).</w:t>
      </w:r>
    </w:p>
    <w:p>
      <w:r>
        <w:rPr>
          <w:b/>
        </w:rPr>
        <w:t>E. 4.8</w:t>
      </w:r>
    </w:p>
    <w:p>
      <w:r>
        <w:t>Selon la jurisprudence de la CourEDH, les membres d'autres tribunaux (voire un membre du même tribunal agissant à un autre titre que l'établissement de la culpabilité, ACEDH Sperisen c. Suisse du 13 juin 2023, req. n° 22060/2020) ou des autres pouvoirs (ACEDH Butkevicius c. Lituanie, arrêt du 26 mars 2002, Recueil 2002-II ; Allenet de Ribemont c. France du 10 février 1995, série A n o 308) ne doivent pas faire de déclarations ni prendre de décisions qui équivalent à une condamnation avant terme, ou à une remise en question d’un acquittement ou d’un classement, sous peine de violer la présomption d'innocence garantie par les art. 6 § 2 CEDH et 32 al. 1 Cst.</w:t>
      </w:r>
    </w:p>
    <w:p>
      <w:r>
        <w:rPr>
          <w:b/>
        </w:rPr>
        <w:t>E. 4.9</w:t>
      </w:r>
    </w:p>
    <w:p>
      <w:r>
        <w:t>En l'espèce, la recourante demeure en Suisse de manière continue depuis décembre 2021, soit moins de quatre ans. Elle ne peut dès lors se prévaloir d'un séjour de longue durée. La durée de ce séjour doit en outre être relativisée au regard du fait qu’il a été effectué, au moins depuis le mois d'octobre 2023, au bénéfice d'une simple tolérance. La condition du long séjour faisant défaut, il y a lieu d'examiner si les autres critères d'évaluation seraient de nature à admettre qu'un départ de ce pays la placerait dans une situation excessivement rigoureuse. L'intégration sociale de l'intéressée ne peut être qualifiée d'exceptionnelle ou de particulièrement réussie au sens de la jurisprudence. La recourante ne soutient pas avoir noué à Genève des liens affectifs ou amicaux particulièrement intenses, ni ne démontre maîtriser le français ; à ce dernier égard, elle a dû passer par un interprète pour s'exprimer devant les responsables du centre LAVI et n'a fourni d'attestations que de suivi de cours, au maximum au niveau A1. Il n'apparaît pas non plus qu'elle se soit investie dans la vie associative ou culturelle genevoise durant son séjour. L'intégration professionnelle de la recourante ne peut, d'un point de vue objectif, être qualifiée de remarquable. Celle-ci n'a en effet exercé aucune activité professionnelle, et n'a donc en toute hypothèse pas pu acquérir en Suisse des connaissances si spécifiques qu'elle ne pourrait en tirer profit dans un autre pays. Cela étant, on peut attribuer, sur la base de l'art. l'art. 77 f let. c ch. 4 OASA, l'absence de prise d'activité professionnelle aux conséquences négatives de la violence domestique subie, et donc ne pas tenir compte de ce critère d'intégration (art. 58 a al. 1 let. d LEI) dans l'analyse du présent cas. L'intéressée est âgée de 48 ans et ses possibilités de réintégration dans son pays d'origine n'apparaissent pas compromises. Elle n'a quitté le Kosovo pour la Suisse qu'à l'âge de 44 ans et y a donc vécu la plus grande partie de sa vie. Elle en connaît ainsi les us et coutumes et en parle la langue. De surcroît, elle y est retournée entre les mois de novembre 2020 et de décembre 2021. Si elle traversera une nécessaire phase de réadaptation à son retour, aucun élément ne permet de retenir que ce dernier constituerait un déracinement ou entraînerait pour elle une détresse profonde. S'il ressort du dossier que la recourante se trouve dans un état dépressif suite à la relation difficile qu'elle avait connue avec son compagnon et à son statut administratif précaire, on ne peut retenir ni qu'une telle pathologie – sans la minimiser – présente un haut degré de gravité qui l'empêcherait de retourner vivre au Kosovo, ni que le traitement psychiatrique adéquat ne pourrait être prodigué dans ce pays, étant précisé que la jurisprudence n'admet en principe pas, comme vu plus haut, que le statut administratif précaire puisse être considéré comme une circonstance justifiant sa prise en compte dans ce cadre. La recourante met en avant les violences domestiques qu'elle a subies. Dans ce cadre, elle a fourni diverses pièces qui sont autant d'indices de violences domestiques, à savoir des photographies, des rapports médicaux, une attestation du centre LAVI qui confirme une prise en charge en foyer depuis 6 septembre 2022, ainsi qu'un procès-verbal d'audience devant le Ministère public qui confirme que plainte a été déposée et qu'une procédure pénale est en cours. Cela étant, si les photographies et certificats médicaux relatifs aux blessures externes montrent quelques dermabrasions ou tuméfactions, celles-ci sont de peu d'ampleur, certaines étant légères. Le rapport gynécologique du 20 janvier 2023 n'a pas été établi en lien avec une agression sexuelle (« La patiente […] signale une agression sexuelle le 4 août de la part de son mari […]. La patiente ne veut pas en parler plus et signale ne pas être venue pour cette raison, ne pas souhaiter faire de CAS, mais pour contrôle gynécologique ») et ne révèle du reste rien à cet égard. Quoi qu'il en soit, la chambre de céans ne saurait tenir pour établis les deux viols ni les insultes et menaces allégués en l'absence de tout jugement pénal de condamnation y relatif, étant précisé qu'à teneur des procès-verbaux d'audience figurant au dossier, l'intéressé a admis une altercation mais a formellement contesté la plupart des infractions, en particulier les menaces et les viols, et que la recourante a quant à elle admis avoir griffé son compagnon. Enfin, la recourante, qui a déjà été entendue à plusieurs reprises par le Ministère public et confrontée à son agresseur, n'allègue ni à plus forte raison ne démontre que sa présence en Suisse serait nécessaire dans l'intérêt de la poursuite pénale, étant précisé qu'elle est assistée dans la procédure pénale d'un avocat et que rien ne s'oppose à ce qu'elle puisse obtenir un visa pour assister à l'éventuelle audience de jugement. Il découle de ce qui précède que, même en tenant compte des violences domestiques subies et de leurs conséquences sur l'absence d'intégration économique de la recourante, l'OCPM n'a pas violé le droit ni abusé de son large pouvoir d'appréciation en retenant que la recourante ne remplissait pas les conditions restrictives permettant l'octroi d'une autorisation de séjour pour cas de rigueur.</w:t>
      </w:r>
    </w:p>
    <w:p>
      <w:r>
        <w:rPr>
          <w:b/>
        </w:rPr>
        <w:t>E. 5</w:t>
      </w:r>
    </w:p>
    <w:p>
      <w:r>
        <w:t>Reste à examiner si le renvoi de l'intéressée est conforme au droit.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w:t>
      </w:r>
    </w:p>
    <w:p>
      <w:r>
        <w:rPr>
          <w:b/>
        </w:rPr>
        <w:t>E. 5.2</w:t>
      </w:r>
    </w:p>
    <w:p>
      <w:r>
        <w:t>Le SEM décide d'admettre provisoirement l'étranger si l'exécution du renvoi n'est pas possible, n'est pas licite ou ne peut être raisonnablement exigée (art. 83 al. 1 LEI). Ces trois conditions susceptibles d’empêcher l’exécution du renvoi sont de nature alternative : il suffit que l’une d’elles soit réalisée pour que le renvoi soit inexécutable ( ATA/139/2025 du 4 février 2025 consid. 7.2).</w:t>
      </w:r>
    </w:p>
    <w:p>
      <w:r>
        <w:rPr>
          <w:b/>
        </w:rPr>
        <w:t>E. 5.3</w:t>
      </w:r>
    </w:p>
    <w:p>
      <w:r>
        <w:t>L'exécution du renvoi n'est pas licite lorsque le renvoi de l'étranger dans son État d'origine, dans son État de provenance ou dans un État tiers est contraire aux engagements de la Suisse relevant du droit international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ATA/270/2025 du 18 mars 2025 consid. 5.2).</w:t>
      </w:r>
    </w:p>
    <w:p>
      <w:r>
        <w:rPr>
          <w:b/>
        </w:rPr>
        <w:t>E. 5.4</w:t>
      </w:r>
    </w:p>
    <w:p>
      <w:r>
        <w:t>En l'espèce, dès lors que l'intimé a, à juste titre, refusé de soumettre le dossier de la recourante au SEM en vue de la délivrance d’une autorisation de séjour, il devait prononcer son renvoi de Suisse. Les arguments que la recourante soulève ont déjà été examinés plus haut, et celle‑ci ne fournit aucun autre élément permettant de retenir que son renvoi au Kosovo serait illicite, impossible ou inexigible, ou d'une quelconque manière contraire aux engagements internationaux de la Suisse. Il ne ressort pas non plus du dossier que tel serait le cas, étant rappelé que c'est à Genève que vit la personne contre laquelle elle a porté plainte. Le grief sera donc également écarté. Il s'ensuit que le recours, mal fondé, sera rejeté.</w:t>
      </w:r>
    </w:p>
    <w:p>
      <w:r>
        <w:rPr>
          <w:b/>
        </w:rPr>
        <w:t>E. 6</w:t>
      </w:r>
    </w:p>
    <w:p>
      <w:r>
        <w:t>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