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A/351/2013 vom 2. September 2014</w:t>
      </w:r>
    </w:p>
    <w:p>
      <w:r>
        <w:t>GE Cour de justice, 2014-09-02, FR</w:t>
      </w:r>
    </w:p>
    <w:p>
      <w:r>
        <w:rPr>
          <w:b/>
        </w:rPr>
        <w:t xml:space="preserve">Quelle: </w:t>
      </w:r>
      <w:r>
        <w:t>https://mcp.opencaselaw.ch/entscheid/ge_gerichte_A_351_2013</w:t>
      </w:r>
    </w:p>
    <w:p>
      <w:r>
        <w:t>FR: GE_GERICHTE A/351/2013 du 2 septembre 2014</w:t>
      </w:r>
    </w:p>
    <w:p>
      <w:r>
        <w:t>IT: GE_GERICHTE A/351/2013 del 2 settembre 2014</w:t>
      </w:r>
    </w:p>
    <w:p>
      <w:pPr>
        <w:pStyle w:val="Heading2"/>
      </w:pPr>
      <w:r>
        <w:t>Regeste</w:t>
      </w:r>
    </w:p>
    <w:p>
      <w:r>
        <w:t>OBJET DU LITIGE ; RECOURS JOINT ; ORDRE DE DÉMOLITION ; PRINCIPE DE LA BONNE FOI ; PROPORTIONNALITÉ ; ÉGALITÉ DE TRAITEMENT | L'autorité compétente n'a pas créé chez la recourante des conditions telles qu'elle serait liée par le principe de la bonne foi. La construction et l'installation litigieuses n'étaient pas autorisables. Rien n'imposait à l'autorité intimée de renoncer à un ordre de démolition. Principe de la proportionnalité respecté. Pas de pratique contraire à la loi de l'autorité. Recours rejeté. | LCI.129; LCI.130; Cst.9; Cst.5.al3; Cst.5.al2; Cst.8</w:t>
      </w:r>
    </w:p>
    <w:p>
      <w:pPr>
        <w:pStyle w:val="Heading2"/>
      </w:pPr>
      <w:r>
        <w:t>Erwägungen</w:t>
      </w:r>
    </w:p>
    <w:p>
      <w:r>
        <w:rPr>
          <w:b/>
        </w:rPr>
        <w:t>E. 2</w:t>
      </w:r>
    </w:p>
    <w:p>
      <w:r>
        <w:t>restants. Le TAPI n'a au demeurant pas considéré le bâtiment n o 3______ comme autorisable en vertu de la protection de la situation acquise, mais a retenu qu'il ne constituait qu'une dérogation mineure à la règle ne justifiant pas le dommage causé par sa démolition, le principe de la proportionnalité s'opposant dès lors à son évacuation. Ainsi, non autorisées, la construction et l'installation litigieuses ne sont pas autorisables. La recourante devait donc s'attendre à ce que l'autorité intimée se préoccupe de rétablir une situation conforme au droit. À cet égard, la qualification de la parcelle n o 2______ de zone week-end par le SITG - la parcelle n o 1______ étant du reste classée comme zone de bois et bosquets - ne change en rien sa situation en zone agricole et les conditions de construction dans cette zone. Par ailleurs, aucun élément n'imposait à l'autorité intimée de renoncer à un ordre de démolition. Au vu de ce qui précède, la décision litigieuse est conforme au principe de la proportionnalité, de sorte que le grief sera écarté. 6) La recourante reproche ensuite à l'autorité intimée d'avoir violé le principe de l'égalité de traitement. a.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 b.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 136 I 65 consid. 5.6 p. 78 ; arrêt du Tribunal fédéral 1C_482/2010 du 14 avril 2011 consid. 5.1 ; ATA/352/2012 du 5 juin 2012 consid. 7). c. En l'espèce, la recourante a produit des photographies, vues aériennes et extraits du RF, soutenant que des constructions non autorisées seraient tolérées dans les parcelles alentours, de sorte que l'ordre d'évacuation serait contraire au principe d'égalité de traitement. Elle ne démontre toutefois pas que ces constructions soient non autorisées, non autorisables et tolérées dans le cadre d'une pratique constante de l'autorité intimée. Or, cette dernière a indiqué ordonner systématiquement la remise en état des constructions non autorisées et des parcelles non conformes sises en zones agricoles et ayant fait l'objet d'une dénonciation, pour autant qu'elles ne soient pas autorisables. Elle n'a donc pas adopté une pratique contraire à la loi dans laquelle elle souhaiterait persévérer. La recourante ne peut par conséquent se prévaloir du principe de l'égalité de traitement pour s'opposer à l'ordre d'évacuation du bâtiment n 0 4______ et de la clôture. Le grief sera écarté. 7) Dans ces circonstances, la décision du DALE ordonnant la démolition du bâtiment n o 4______ et de la clôture métallique est conforme au droit et le recours de Mme A______ contre le jugement du TAPI sera rejeté. 8) Vu l'issue du litige, un émolument de CHF 1'000.-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