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A/3515/2012 vom 27. Juni 2013</w:t>
      </w:r>
    </w:p>
    <w:p>
      <w:r>
        <w:t>GE Cour de justice, 2013-06-27, FR</w:t>
      </w:r>
    </w:p>
    <w:p>
      <w:r>
        <w:rPr>
          <w:b/>
        </w:rPr>
        <w:t xml:space="preserve">Quelle: </w:t>
      </w:r>
      <w:r>
        <w:t>https://mcp.opencaselaw.ch/entscheid/ge_gerichte_A_3515_2012</w:t>
      </w:r>
    </w:p>
    <w:p>
      <w:r>
        <w:t>FR: GE_GERICHTE A/3515/2012 du 27 juin 2013</w:t>
      </w:r>
    </w:p>
    <w:p>
      <w:r>
        <w:t>IT: GE_GERICHTE A/3515/2012 del 27 giugno 2013</w:t>
      </w:r>
    </w:p>
    <w:p>
      <w:pPr>
        <w:pStyle w:val="Heading2"/>
      </w:pPr>
      <w:r>
        <w:t>Erwägungen</w:t>
      </w:r>
    </w:p>
    <w:p>
      <w:r>
        <w:rPr>
          <w:b/>
        </w:rPr>
        <w:t>E. 3</w:t>
      </w:r>
    </w:p>
    <w:p>
      <w:r>
        <w:t>ème Chambre En la cause Madame M__________, domiciliée à ONEX, comparant avec élection de domicile en l'étude de Maître de RHAM-CASTHELAZ Marie-Claude recourante contre SERVICE DES PRESTATIONS COMPLEMENTAIRES, sis route de Chêne 54, GENEVE intimé EN FAIT 1.        Par décision du 15 mai 2012, le SERVICE DES PRESTATIONS COMPLEMENTAIRES (ci-après : le SPC) a réclamé à Madame M__________ (ci-après : la bénéficiaire) la restitution d'un montant de 138'665 fr. 75, correspondant aux prestations complémentaires (984 fr.), subsides de l'assurance-maladie (87'521 fr.) et frais médicaux (50'160 fr. 75) versés à tort à l’intéressée pour la période du 1er novembre 2004 au 31 mai 2012. Le SPC a en effet découvert que sa bénéficiaire avait hérité, au décès de sa mère survenu le 3 novembre 2004, d’une part d’un bien immobilier d’une valeur de 272'528 fr. ![endif]&gt;![if&gt; 2.        La bénéficiaire s'est opposée à ces décisions le 28 mai 2012 en alléguant avoir profité de l'argent provenant de l'héritage de sa mère pour, notamment contracter une assurance-vie, faire une donation de 180'000 fr. à ses enfants et à une tante dans le besoin et de 20'000 fr. à sa famille proche à Prague.![endif]&gt;![if&gt; 3.        Par décision sur opposition du 24 octobre 2012, le SPC a confirmé ses décisions du 15 mai 2012.![endif]&gt;![if&gt; Le SPC estime que le montant de 199'809 fr. dont il a tenu compte dès le novembre 2007 à titre de bien dessaisi est correct, puisqu'il correspond au solde de la part d'héritage de l'assurée, après achat d'une assurance-vie de 100'000 fr. Le SPC fait remarquer avoir introduit, dès cette même date, la valeur de rachat de l'assurance-vie pour les montants de 93'947 fr. du 1 er novembre au 31 décembre 2007, 95'775 fr. en 2008, 98'539 fr. en 2009, 101'874 fr. en 2010, et 104'280 fr. 40 pour les années 2011 et 2012. Le SPC rappelle que ses ayants droit ont l'obligation légale de lui communiquer tout changement intervenant dans leur situation financière. Le SPC souligne qu’il n’est pas nécessaire qu'une condamnation pénale ait été prononcée pour que le délai de prescription plus long puisse s'appliquer. Le SPC a enfin fait remarquer que, même en prenant en compte, dès le 1 er mai 2011, la dette d'un montant de 11'000 fr. contractée par la bénéficiaire auprès de X__________ BANK le 18 avril 2011, les calculs démontrent que les conditions d’octroi des prestations complémentaires ne sont toujours pas remplies. Le SPC a dès lors confirmé sa demande en restitution de 138'665 fr. 75. 4.        Par écriture du 22 novembre 2012, l'assurée a interjeté recours auprès de la Cour de céans en concluant à l’annulation de la décision en restitution, au motif que le droit de l’intimé de réclamer le remboursement des prestations touchées indûment au-delà du 1er mars 2007 serait prescrit.![endif]&gt;![if&gt; La recourante proteste de sa bonne foi. Elle assure n'avoir jamais eu l'intention de tromper l’intimé, mais avoir simplement cru, "ingénument", que cet héritage n'avait pas à lui être annoncé. 5.        Invité à se déterminer, l'intimé, dans sa réponse du 20 décembre 2012, a conclu au rejet du recours. Il soutient que c'est à tout le moins un délai de prescription de sept ans qui doit s'appliquer.![endif]&gt;![if&gt; 6.        Le 24 janvier 2013, la recourante a persisté dans ses conclusions et, par écriture spontanée du 5 février 2013, elle a adressé à la Cour de céans une liste de ses dépenses et revenus, en alléguant qu'elle ne peut rembourser la somme qui lui est réclamée.![endif]&gt;![if&gt;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![endif]&gt;![if&gt; Il en va de même en matière de prestations complémentaires cantonales (cf. art. 1A al. 1 let. b LPCC). 4.        Le litige se limite à la question de la prescription soulevée par la recourante. Cette dernière ne conteste en effet plus à ce stade ni les calculs de l’intimé ni le fait que les prestations dont le remboursement lui est réclamé lui ont été versées à tort. Il conviendra dès lors de déterminer quel délai de prescription s’applique. ![endif]&gt;![if&gt; 5.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6.        L’intimé soutient que le délai de prescription pénale peut s’appliquer au cas d’espèce. ![endif]&gt;![if&gt;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c) Selon l'art. 97 al. 1 CP, l'action pénale se prescrit par 30 ans si l'infraction était passible d'une peine privative de liberté à vie, par 15 ans si elle était passible d'une peine privative de liberté de plus de trois ans, et par 7 ans si elle était passible d'une autre peine. Le délai de prescription de l'action pénale pour une infraction telle que celle décrite à l'art. 31 LPC est donc de 7 ans, celui d’une infraction à l'art. 146 al. 1 CP de 15 ans. d)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7.        Il convient d'examiner, dans un premier temps, si la recourante s'est rendue coupable d'une escroquerie au sens de l'art. 146 CP.![endif]&gt;![if&gt; a)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b/aa)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b/bb)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Le Tribunal fédéral a considéré que l'assuré ne se trouvait pas dans une position de garant envers l'autorité, dans la mesure où il n'avait aucune responsabilité particulière envers celle-ci (cf. arrêt non publié 6S.288/2000 du 28 septembre 2000 consid. 4b/bb). En effet, l’art. 24 OPC-AVS/AI ne crée aucune position de garant (ATF 131 IV 83 ). De l’avis de la Cour de céans, il en va de même des art. 20 OPC-AVS/AI, 29 et 31 al. 1 LPGA, qui ne placent pas l’assuré dans une position de garant vis-à-vis du SPC, de sorte que la jurisprudence énoncée dans l’arrêt non publié 6S.288/2000 précité reste pleinement applicable. b/cc) En revanche, si l’intimé ne s'est pas contenté de verser de manière routinière ses prestations à son bénéficiaire, mais l'a conduit à s'exprimer une ou plusieurs fois sur sa situation financière, au moins par acte concluant ou silence qualifié, par exemple en l'amenant à renouveler sa demande, il faut admettre que l’intéressé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c/aa) L’astuce au sens de l’art. 146 CP est réalisée, lorsque l’auteur se sert d’un édifice de mensonges,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c/bb)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publiés 6B_22/2011 du 23 mai 2011; 6B_576/2010 du 25 janvier 2011 consid. 4.1.2; 6B_689/2010 et 6B_690/2010 du 25 octobre 2010 consid. 4.3.4). d) Le Tribunal fédéral a notamment admis l’escroquerie dans le cas d’un assuré qui avait sollicité des prestations complémentaires en omettant d’indiquer qu’il disposait d’une fortune non négligeable. En effet, en déposant sa demande de prestations, l’assuré avait implicitement affirmé qu’il en remplissait toutes les ðfévrier 2012, consid. 6 ; ATAS/914/2012 du 19 juillet 2012). 8.        En l’espèce, il ressort du dossier que c'est en août 2005 que la succession de la mère de la recourante – décédée le 3 novembre 2004 - a été réglée. Il n’est pas contesté que la recourante n’a pas informé l’intimé du fait qu’elle avait hérité de sa mère un montant important. C'est lors de la révision périodique engagée en février 2012 que l'intimé a appris l'existence du bien immobilier en question et de l'héritage. ![endif]&gt;![if&gt; Force est de constater que l'on se trouve donc dans la même situation que celle examinée par le Tribunal fédéral dans son arrêt 9C_622/2011 cité supra puisque, ce son côté, l'intimé a satisfait à son obligation d'élucider la situation financière de la recourante au moment du dépôt initial de la demande et que, par la suite, rien dans le comportement de cette dernière n'aurait pu lui permettre d'envisager qu'une modification considérable était survenue dans sa situation financière. Certes, la tromperie ne remonte pas au moment de la demande de prestations mais à tout le moins à août 2005, date à laquelle la recourante a été informée de l'issue de la liquidation de la succession. Cette tromperie peut en outre être qualifiée d’astucieuse, dès lors qu’il était quasiment impossible pour l’intimé d'apprendre l'existence du bien en question, celui-ci étant situé à l’étranger. Dès lors, c'est à juste titre que l'intimé a considéré que le délai de prescription pénale de 15 ans était applicable à sa créance en restitution, laquelle n'était pas prescrite lorsqu'il l'a fait valoir en 2012. 9.        A titre superfétatoire, on relèvera que la recourante s'est également rendue coupable d’une violation de l’obligation de renseigner (art. 31 LPC).![endif]&gt;![if&gt; a) Jusqu’au 31 décembre 2007, l’art. 16 al. 1er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Quant à l’art. 24 OPC-AVS/AI, toujours applicable,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Qui plus est,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b) Dans un ATF 131 IV 83 ,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 la bénéficiaire des prestations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c/aa) En l’espèce, les conditions de l’art. 16 aLPC - dans sa teneur en vigueur jusqu’au 31 décembre 2007 - et celles de l’art. 31 LPC - dans sa teneur depuis le 1er janvier 2008 sont à l’évidence réalisées, la recourante ayant, par son silence qualifié, certes tacitement mais de façon mensongère, dissimulé une part importante de fortune. Il y a par conséquent lieu de retenir qu’elle s’est à tout le moins rendue coupable d’une infraction aux art. 16 aLPC et 31 LPC chaque année, en ne réagissant pas aux décisions qui lui ont été notifiées par l’intimé, percevant ainsi des prestations complémentaires établies sur la base d’un état des revenus et du patrimoine inexact. En effet, à la lecture du détail des calculs, la recourante devait se rendre compte que sa part d’héritage n’avait pas été prise en considération. Par conséquent, en ne réagissant pas, elle a maintenu l’intimé dans l’erreur et commis l’infraction précitée par silence qualifié. Eu égard aux considérations qui précèdent, le recours est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